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5"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37</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6"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Định hướng phương pháp/mô hình</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Xác định hai mô hình YOLO sẽ thử nghiệm (YOLO11n, YOLO26n) và tiêu chí lựa chọn</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Thu thập &amp; tiền xử lý dữ liệu</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Dataset, gán nhãn khung bao trên Roboflow, resize, augmentation, chia Train/Val/Test</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r>
              <w:rPr>
                <w:rFonts w:cs="Times New Roman"/>
                <w:color w:val="000000" w:themeColor="text1"/>
              </w:rPr>
              <w:t>Cả</w:t>
            </w:r>
            <w:proofErr w:type="spellEnd"/>
            <w:r>
              <w:rPr>
                <w:rFonts w:cs="Times New Roman"/>
                <w:color w:val="000000" w:themeColor="text1"/>
                <w:lang w:val="vi-VN"/>
              </w:rPr>
              <w:t xml:space="preserve"> nhóm</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Demo/Code</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chương trình (nhận diện, tính tiền, hóa đơn, giao diện), chuẩn bị code và quy trình chạy</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Chạy chương trình &amp; huấn luyện</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Huấn luyện các mô hình, lưu kết quả</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thực nghiệm</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tốc độ suy luận, phân tích lỗi</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Phương pháp/mô hình &amp;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YOLO, chọn mô hình chính, hoàn thiện báo cáo</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Demo/Code</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Kết quả thực nghiệm</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Định hướng phương pháp/mô hình</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Chạy chương trình &amp; huấn luyện</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Phương pháp/mô hình &amp; hoàn thiện</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w:t>
            </w:r>
            <w:r>
              <w:rPr>
                <w:rFonts w:cs="Times New Roman"/>
                <w:color w:val="000000" w:themeColor="text1"/>
              </w:rPr>
              <w:t>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Thu thập và tiền xử lý Dataset</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34</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sản phẩm bị che khuất trên </w:t>
      </w:r>
      <w:r>
        <w:rPr>
          <w:rFonts w:cs="Times New Roman"/>
          <w:color w:val="000000" w:themeColor="text1"/>
          <w:highlight w:val="yellow"/>
        </w:rPr>
        <w:t xml:space="preserve">…%</w:t>
      </w:r>
      <w:r>
        <w:rPr>
          <w:rFonts w:cs="Times New Roman"/>
          <w:color w:val="000000" w:themeColor="text1"/>
        </w:rPr>
        <w:t xml:space="preserve"> diện tích thì </w:t>
      </w:r>
      <w:r>
        <w:rPr>
          <w:rFonts w:cs="Times New Roman"/>
          <w:color w:val="000000" w:themeColor="text1"/>
          <w:highlight w:val="yellow"/>
        </w:rPr>
        <w:t xml:space="preserve">vẫn gán nhãn / bỏ qua</w:t>
      </w:r>
      <w:r>
        <w:rPr>
          <w:rFonts w:cs="Times New Roman"/>
          <w:color w:val="000000" w:themeColor="text1"/>
        </w:rPr>
        <w:t xml:space="preserve">.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37DAD655" w14:textId="77777777" w:rsidR="00FB590D" w:rsidRDefault="00000000">
      <w:pPr>
        <w:pStyle w:val="311Level3c3"/>
        <w:keepNext/>
        <w:rPr>
          <w:rFonts w:cs="Times New Roman"/>
          <w:color w:val="000000" w:themeColor="text1"/>
        </w:rPr>
      </w:pPr>
      <w:bookmarkStart w:id="9100" w:name="_Toc90009100"/>
      <w:r>
        <w:rPr>
          <w:rFonts w:cs="Times New Roman"/>
          <w:color w:val="000000" w:themeColor="text1"/>
        </w:rPr>
        <w:t xml:space="preserve">3.3.3. So sánh thời gian huấn luyện và thời gian dự đoán</w:t>
      </w:r>
      <w:bookmarkEnd w:id="9100"/>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1" w:name="_Toc90009101"/>
      <w:r>
        <w:rPr>
          <w:rFonts w:cs="Times New Roman"/>
          <w:color w:val="000000" w:themeColor="text1"/>
        </w:rPr>
        <w:t xml:space="preserve">Bảng 3.5. Chi phí huấn luyện và suy luận của hai mô hình</w:t>
      </w:r>
      <w:bookmarkEnd w:id="9101"/>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2" w:name="_Toc90009102"/>
      <w:r>
        <w:rPr>
          <w:rFonts w:cs="Times New Roman"/>
          <w:color w:val="000000" w:themeColor="text1"/>
        </w:rPr>
        <w:t xml:space="preserve">3.3.4. Phân tích lỗi và các lớp còn yếu</w:t>
      </w:r>
      <w:bookmarkEnd w:id="9102"/>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highlight w:val="yellow"/>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3" w:name="_Toc90009103"/>
      <w:r>
        <w:rPr>
          <w:rFonts w:cs="Times New Roman"/>
          <w:color w:val="000000" w:themeColor="text1"/>
        </w:rPr>
        <w:t xml:space="preserve">3.3.5. Lựa chọn mô hình chính cho hệ thống</w:t>
      </w:r>
      <w:bookmarkEnd w:id="9103"/>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4" w:name="_Toc90009104"/>
      <w:r>
        <w:rPr>
          <w:rFonts w:cs="Times New Roman"/>
          <w:color w:val="000000" w:themeColor="text1"/>
        </w:rPr>
        <w:t>3.4. Kết quả triển khai mô hình chính</w:t>
      </w:r>
      <w:bookmarkEnd w:id="9104"/>
    </w:p>
    <w:p w14:paraId="6FD26322"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3.4.1. Kết quả nhận diện trên dữ liệu mới</w:t>
      </w:r>
      <w:bookmarkEnd w:id="9105"/>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3.4.2. Kết quả nhận diện trong các tình huống thực tế</w:t>
      </w:r>
      <w:bookmarkEnd w:id="9106"/>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3.4.3. Đánh giá độ chính xác tính tiền của hệ thống</w:t>
      </w:r>
      <w:bookmarkEnd w:id="9107"/>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3.4.4. Phân tích các trường hợp nhận diện đúng và sai</w:t>
      </w:r>
      <w:bookmarkEnd w:id="9108"/>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3.5. Kết quả xây dựng và đánh giá chương trình</w:t>
      </w:r>
      <w:bookmarkEnd w:id="9109"/>
    </w:p>
    <w:p w14:paraId="365E9334"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3.5.1. Giao diện chính của chương trình</w:t>
      </w:r>
      <w:bookmarkEnd w:id="9110"/>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lastRenderedPageBreak/>
        <w:t>3.5.2. Chức năng nhập hình ảnh sản phẩm</w:t>
      </w:r>
      <w:bookmarkEnd w:id="9111"/>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3.5.3. Chức năng nhận diện và hiển thị kết quả</w:t>
      </w:r>
      <w:bookmarkEnd w:id="9112"/>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3.5.4. Chức năng tính tiền và xuất hóa đơn</w:t>
      </w:r>
      <w:bookmarkEnd w:id="9113"/>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3.5.5. Hạn chế và hướng phát triển</w:t>
      </w:r>
      <w:bookmarkEnd w:id="9114"/>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5" w:name="_Toc90009115"/>
      <w:r>
        <w:rPr>
          <w:rFonts w:cs="Times New Roman"/>
          <w:color w:val="000000" w:themeColor="text1"/>
        </w:rPr>
        <w:lastRenderedPageBreak/>
        <w:t>KẾT LUẬN</w:t>
      </w:r>
      <w:bookmarkEnd w:id="9115"/>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16" w:name="_Toc90009116"/>
      <w:r>
        <w:rPr>
          <w:rFonts w:cs="Times New Roman"/>
          <w:color w:val="000000" w:themeColor="text1"/>
        </w:rPr>
        <w:lastRenderedPageBreak/>
        <w:t>TÀI LIỆU THAM KHẢO</w:t>
      </w:r>
      <w:bookmarkEnd w:id="9116"/>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