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0"/>
      </w:pPr>
      <w:r>
        <w:rPr>
          <w:rFonts w:ascii="Calibri" w:cs="Calibri" w:eastAsia="Calibri" w:hAnsi="Calibri"/>
          <w:b/>
          <w:bCs/>
          <w:color w:val="004B8D"/>
          <w:sz w:val="60"/>
          <w:szCs w:val="60"/>
        </w:rPr>
        <w:t xml:space="preserve">DCS</w:t>
      </w:r>
    </w:p>
    <w:p>
      <w:pPr>
        <w:spacing w:after="420"/>
      </w:pPr>
      <w:r>
        <w:rPr>
          <w:rFonts w:ascii="Calibri" w:cs="Calibri" w:eastAsia="Calibri" w:hAnsi="Calibri"/>
          <w:color w:val="5B6B7B"/>
          <w:sz w:val="22"/>
          <w:szCs w:val="22"/>
        </w:rPr>
        <w:t xml:space="preserve">He thong Quan ly &amp; Phan phoi Tai lieu</w:t>
      </w:r>
    </w:p>
    <w:p>
      <w:pPr>
        <w:pBdr>
          <w:bottom w:val="single" w:color="004B8D" w:sz="18" w:space="8"/>
        </w:pBdr>
        <w:spacing w:after="100"/>
      </w:pPr>
      <w:r>
        <w:rPr>
          <w:rFonts w:ascii="Calibri" w:cs="Calibri" w:eastAsia="Calibri" w:hAnsi="Calibri"/>
          <w:b/>
          <w:bCs/>
          <w:color w:val="002B54"/>
          <w:sz w:val="38"/>
          <w:szCs w:val="38"/>
        </w:rPr>
        <w:t xml:space="preserve">Mô tả Phân quyền &amp; Tính năng</w:t>
      </w:r>
    </w:p>
    <w:p>
      <w:pPr>
        <w:spacing w:before="120"/>
      </w:pPr>
      <w:r>
        <w:rPr>
          <w:rFonts w:ascii="Calibri" w:cs="Calibri" w:eastAsia="Calibri" w:hAnsi="Calibri"/>
          <w:color w:val="5B6B7B"/>
          <w:sz w:val="22"/>
          <w:szCs w:val="22"/>
        </w:rPr>
        <w:t xml:space="preserve">Tài liệu tóm tắt — bản dùng nội bộ</w:t>
      </w:r>
    </w:p>
    <w:p>
      <w:pPr>
        <w:spacing w:before="200"/>
      </w:pPr>
      <w:r>
        <w:rPr>
          <w:rFonts w:ascii="Calibri" w:cs="Calibri" w:eastAsia="Calibri" w:hAnsi="Calibri"/>
          <w:i/>
          <w:iCs/>
          <w:color w:val="5B6B7B"/>
          <w:sz w:val="20"/>
          <w:szCs w:val="20"/>
        </w:rPr>
        <w:t xml:space="preserve">Phiên bản mô hình: ban hành thẳng theo site (receipt). Cập nhật theo code hiện tại.</w:t>
      </w:r>
    </w:p>
    <w:p>
      <w:r>
        <w:br w:type="page"/>
      </w:r>
    </w:p>
    <w:p>
      <w:pPr>
        <w:pStyle w:val="Heading1"/>
        <w:pBdr>
          <w:bottom w:val="single" w:color="DCEBFA" w:sz="10" w:space="6"/>
        </w:pBdr>
        <w:spacing w:before="300" w:after="140"/>
      </w:pPr>
      <w:r>
        <w:rPr>
          <w:rFonts w:ascii="Calibri" w:cs="Calibri" w:eastAsia="Calibri" w:hAnsi="Calibri"/>
          <w:b/>
          <w:bCs/>
          <w:color w:val="004B8D"/>
          <w:sz w:val="30"/>
          <w:szCs w:val="30"/>
        </w:rPr>
        <w:t xml:space="preserve">1. DCS là gì</w:t>
      </w:r>
    </w:p>
    <w:p>
      <w:pPr>
        <w:spacing w:after="120" w:before="0" w:line="276"/>
      </w:pPr>
      <w:r>
        <w:rPr>
          <w:rFonts w:ascii="Calibri" w:cs="Calibri" w:eastAsia="Calibri" w:hAnsi="Calibri"/>
          <w:sz w:val="21"/>
          <w:szCs w:val="21"/>
        </w:rPr>
        <w:t xml:space="preserve">DCS quản lý vòng đời tài liệu và phân phối có kiểm soát tới các nhà máy/site. Người biên soạn ban hành tài liệu thẳng tới các site; mỗi site xác nhận tiếp nhận hoặc từ chối khi phát hiện sai sót. Hệ thống lưu ghi vết không sửa, hỗ trợ tìm kiếm toàn văn, in bản sao có kiểm soát gắn mã QR, và xem xét định kỳ.</w:t>
      </w:r>
    </w:p>
    <w:p>
      <w:pPr>
        <w:pStyle w:val="Heading1"/>
        <w:pBdr>
          <w:bottom w:val="single" w:color="DCEBFA" w:sz="10" w:space="6"/>
        </w:pBdr>
        <w:spacing w:before="300" w:after="140"/>
      </w:pPr>
      <w:r>
        <w:rPr>
          <w:rFonts w:ascii="Calibri" w:cs="Calibri" w:eastAsia="Calibri" w:hAnsi="Calibri"/>
          <w:b/>
          <w:bCs/>
          <w:color w:val="004B8D"/>
          <w:sz w:val="30"/>
          <w:szCs w:val="30"/>
        </w:rPr>
        <w:t xml:space="preserve">2. Bốn vai trò &amp; phạm vi quyền</w:t>
      </w:r>
    </w:p>
    <w:p>
      <w:pPr>
        <w:spacing w:after="120" w:before="0" w:line="276"/>
      </w:pPr>
      <w:r>
        <w:rPr>
          <w:rFonts w:ascii="Calibri" w:cs="Calibri" w:eastAsia="Calibri" w:hAnsi="Calibri"/>
          <w:sz w:val="21"/>
          <w:szCs w:val="21"/>
        </w:rPr>
        <w:t xml:space="preserve">Hệ thống có 4 vai. Admin đứng NGOÀI luồng tài liệu (chỉ quản trị + dữ liệu gốc); ba vai còn lại tham gia luồng nghiệp vụ.</w:t>
      </w:r>
    </w:p>
    <w:tbl>
      <w:tblPr>
        <w:tblW w:type="pct" w:w="100%"/>
        <w:tblBorders>
          <w:top w:val="single" w:color="DCEBFA" w:sz="4"/>
          <w:left w:val="single" w:color="DCEBFA" w:sz="4"/>
          <w:bottom w:val="single" w:color="DCEBFA" w:sz="4"/>
          <w:right w:val="single" w:color="DCEBFA" w:sz="4"/>
          <w:insideH w:val="single" w:color="DCEBFA" w:sz="4"/>
          <w:insideV w:val="single" w:color="DCEBFA" w:sz="4"/>
        </w:tblBorders>
      </w:tblPr>
      <w:tblGrid>
        <w:gridCol w:w="100"/>
        <w:gridCol w:w="100"/>
        <w:gridCol w:w="100"/>
      </w:tblGrid>
      <w:tr>
        <w:trPr>
          <w:tblHeader/>
        </w:trPr>
        <w:tc>
          <w:tcPr>
            <w:tcW w:type="pct" w:w="22%"/>
            <w:shd w:fill="EBF4FC" w:color="auto" w:val="clear"/>
            <w:tcMar>
              <w:top w:type="dxa" w:w="60"/>
              <w:left w:type="dxa" w:w="110"/>
              <w:bottom w:type="dxa" w:w="60"/>
              <w:right w:type="dxa" w:w="110"/>
            </w:tcMar>
            <w:vAlign w:val="center"/>
          </w:tcPr>
          <w:p>
            <w:pPr>
              <w:spacing w:after="0" w:line="252"/>
            </w:pPr>
            <w:r>
              <w:rPr>
                <w:rFonts w:ascii="Calibri" w:cs="Calibri" w:eastAsia="Calibri" w:hAnsi="Calibri"/>
                <w:b/>
                <w:bCs/>
                <w:color w:val="002B54"/>
                <w:sz w:val="20"/>
                <w:szCs w:val="20"/>
              </w:rPr>
              <w:t xml:space="preserve">Vai trò</w:t>
            </w:r>
          </w:p>
        </w:tc>
        <w:tc>
          <w:tcPr>
            <w:tcW w:type="pct" w:w="56%"/>
            <w:shd w:fill="EBF4FC" w:color="auto" w:val="clear"/>
            <w:tcMar>
              <w:top w:type="dxa" w:w="60"/>
              <w:left w:type="dxa" w:w="110"/>
              <w:bottom w:type="dxa" w:w="60"/>
              <w:right w:type="dxa" w:w="110"/>
            </w:tcMar>
            <w:vAlign w:val="center"/>
          </w:tcPr>
          <w:p>
            <w:pPr>
              <w:spacing w:after="0" w:line="252"/>
            </w:pPr>
            <w:r>
              <w:rPr>
                <w:rFonts w:ascii="Calibri" w:cs="Calibri" w:eastAsia="Calibri" w:hAnsi="Calibri"/>
                <w:b/>
                <w:bCs/>
                <w:color w:val="002B54"/>
                <w:sz w:val="20"/>
                <w:szCs w:val="20"/>
              </w:rPr>
              <w:t xml:space="preserve">Làm được gì</w:t>
            </w:r>
          </w:p>
        </w:tc>
        <w:tc>
          <w:tcPr>
            <w:tcW w:type="pct" w:w="22%"/>
            <w:shd w:fill="EBF4FC" w:color="auto" w:val="clear"/>
            <w:tcMar>
              <w:top w:type="dxa" w:w="60"/>
              <w:left w:type="dxa" w:w="110"/>
              <w:bottom w:type="dxa" w:w="60"/>
              <w:right w:type="dxa" w:w="110"/>
            </w:tcMar>
            <w:vAlign w:val="center"/>
          </w:tcPr>
          <w:p>
            <w:pPr>
              <w:spacing w:after="0" w:line="252"/>
            </w:pPr>
            <w:r>
              <w:rPr>
                <w:rFonts w:ascii="Calibri" w:cs="Calibri" w:eastAsia="Calibri" w:hAnsi="Calibri"/>
                <w:b/>
                <w:bCs/>
                <w:color w:val="002B54"/>
                <w:sz w:val="20"/>
                <w:szCs w:val="20"/>
              </w:rPr>
              <w:t xml:space="preserve">Phạm vi</w:t>
            </w:r>
          </w:p>
        </w:tc>
      </w:tr>
      <w:tr>
        <w:tc>
          <w:tcPr>
            <w:tcW w:type="pct" w:w="22%"/>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Quản trị hệ thống
(DC_ADMIN)</w:t>
            </w:r>
          </w:p>
        </w:tc>
        <w:tc>
          <w:tcPr>
            <w:tcW w:type="pct" w:w="56%"/>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Quản lý tổ chức (BU/Site/Phòng ban), người dùng, vai trò; xem ghi vết. Không đăng ký/duyệt tài liệu.</w:t>
            </w:r>
          </w:p>
        </w:tc>
        <w:tc>
          <w:tcPr>
            <w:tcW w:type="pct" w:w="22%"/>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Toàn hệ thống (quản trị)</w:t>
            </w:r>
          </w:p>
        </w:tc>
      </w:tr>
      <w:tr>
        <w:tc>
          <w:tcPr>
            <w:tcW w:type="pct" w:w="22%"/>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Biên soạn tài liệu
(DC_AUTHOR)</w:t>
            </w:r>
          </w:p>
        </w:tc>
        <w:tc>
          <w:tcPr>
            <w:tcW w:type="pct" w:w="56%"/>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Đăng ký &amp; ban hành tài liệu; sửa/thu hồi/xóa bản của mình theo điều kiện; kết luận xem xét định kỳ (bộ phận sở hữu); tạo gói ban hành.</w:t>
            </w:r>
          </w:p>
        </w:tc>
        <w:tc>
          <w:tcPr>
            <w:tcW w:type="pct" w:w="22%"/>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Tài liệu mình đăng ký</w:t>
            </w:r>
          </w:p>
        </w:tc>
      </w:tr>
      <w:tr>
        <w:tc>
          <w:tcPr>
            <w:tcW w:type="pct" w:w="22%"/>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Kiểm soát tài liệu site
(DC_SITE_DOC_CONTROL)</w:t>
            </w:r>
          </w:p>
        </w:tc>
        <w:tc>
          <w:tcPr>
            <w:tcW w:type="pct" w:w="56%"/>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Xác nhận tiếp nhận / từ chối tài liệu tới site mình phụ trách; thẩm định báo bất thường của người đọc.</w:t>
            </w:r>
          </w:p>
        </w:tc>
        <w:tc>
          <w:tcPr>
            <w:tcW w:type="pct" w:w="22%"/>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Theo site được gán</w:t>
            </w:r>
          </w:p>
        </w:tc>
      </w:tr>
      <w:tr>
        <w:tc>
          <w:tcPr>
            <w:tcW w:type="pct" w:w="22%"/>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Người đọc
(DC_READER)</w:t>
            </w:r>
          </w:p>
        </w:tc>
        <w:tc>
          <w:tcPr>
            <w:tcW w:type="pct" w:w="56%"/>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Tra cứu &amp; đọc tài liệu hiện hành trong phạm vi; báo bất thường; xác nhận đã đọc.</w:t>
            </w:r>
          </w:p>
        </w:tc>
        <w:tc>
          <w:tcPr>
            <w:tcW w:type="pct" w:w="22%"/>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Chỉ-xem theo phạm vi</w:t>
            </w:r>
          </w:p>
        </w:tc>
      </w:tr>
    </w:tbl>
    <w:p>
      <w:pPr>
        <w:spacing w:before="100"/>
      </w:pPr>
      <w:r>
        <w:rPr>
          <w:rFonts w:ascii="Calibri" w:cs="Calibri" w:eastAsia="Calibri" w:hAnsi="Calibri"/>
          <w:i/>
          <w:iCs/>
          <w:color w:val="5B6B7B"/>
          <w:sz w:val="20"/>
          <w:szCs w:val="20"/>
        </w:rPr>
        <w:t xml:space="preserve">Menu ẩn hẳn mục không có quyền; chặn cả ở route (gõ URL trực tiếp vẫn bị từ chối).</w:t>
      </w:r>
    </w:p>
    <w:p>
      <w:r>
        <w:br w:type="page"/>
      </w:r>
    </w:p>
    <w:p>
      <w:pPr>
        <w:pStyle w:val="Heading1"/>
        <w:pBdr>
          <w:bottom w:val="single" w:color="DCEBFA" w:sz="10" w:space="6"/>
        </w:pBdr>
        <w:spacing w:before="300" w:after="140"/>
      </w:pPr>
      <w:r>
        <w:rPr>
          <w:rFonts w:ascii="Calibri" w:cs="Calibri" w:eastAsia="Calibri" w:hAnsi="Calibri"/>
          <w:b/>
          <w:bCs/>
          <w:color w:val="004B8D"/>
          <w:sz w:val="30"/>
          <w:szCs w:val="30"/>
        </w:rPr>
        <w:t xml:space="preserve">3. Tính năng chính theo vai</w:t>
      </w:r>
    </w:p>
    <w:p>
      <w:pPr>
        <w:pStyle w:val="Heading2"/>
        <w:spacing w:before="200" w:after="90"/>
      </w:pPr>
      <w:r>
        <w:rPr>
          <w:rFonts w:ascii="Calibri" w:cs="Calibri" w:eastAsia="Calibri" w:hAnsi="Calibri"/>
          <w:b/>
          <w:bCs/>
          <w:color w:val="002B54"/>
          <w:sz w:val="24"/>
          <w:szCs w:val="24"/>
        </w:rPr>
        <w:t xml:space="preserve">Biên soạn (Author)</w:t>
      </w:r>
    </w:p>
    <w:p>
      <w:pPr>
        <w:pStyle w:val="ListParagraph"/>
        <w:numPr>
          <w:ilvl w:val="0"/>
          <w:numId w:val="2"/>
        </w:numPr>
        <w:spacing w:after="60" w:line="276"/>
      </w:pPr>
      <w:r>
        <w:rPr>
          <w:rFonts w:ascii="Calibri" w:cs="Calibri" w:eastAsia="Calibri" w:hAnsi="Calibri"/>
          <w:sz w:val="21"/>
          <w:szCs w:val="21"/>
        </w:rPr>
        <w:t xml:space="preserve">Đăng ký tài liệu: tải lên PDF, khai số hiệu/loại/phạm vi/ngày hiệu lực, chọn site nhận → ban hành thẳng (trạng thái Đã ban hành).</w:t>
      </w:r>
    </w:p>
    <w:p>
      <w:pPr>
        <w:pStyle w:val="ListParagraph"/>
        <w:numPr>
          <w:ilvl w:val="0"/>
          <w:numId w:val="2"/>
        </w:numPr>
        <w:spacing w:after="60" w:line="276"/>
      </w:pPr>
      <w:r>
        <w:rPr>
          <w:rFonts w:ascii="Calibri" w:cs="Calibri" w:eastAsia="Calibri" w:hAnsi="Calibri"/>
          <w:sz w:val="21"/>
          <w:szCs w:val="21"/>
        </w:rPr>
        <w:t xml:space="preserve">Tài liệu của tôi: danh sách tài liệu mình đăng ký kèm trạng thái tổng hợp tiếp nhận theo site.</w:t>
      </w:r>
    </w:p>
    <w:p>
      <w:pPr>
        <w:pStyle w:val="ListParagraph"/>
        <w:numPr>
          <w:ilvl w:val="0"/>
          <w:numId w:val="2"/>
        </w:numPr>
        <w:spacing w:after="60" w:line="276"/>
      </w:pPr>
      <w:r>
        <w:rPr>
          <w:rFonts w:ascii="Calibri" w:cs="Calibri" w:eastAsia="Calibri" w:hAnsi="Calibri"/>
          <w:sz w:val="21"/>
          <w:szCs w:val="21"/>
        </w:rPr>
        <w:t xml:space="preserve">Tình trạng ban hành: ma trận phản hồi từng site (chờ/chấp nhận/từ chối); sửa metadata, thu hồi, xóa theo điều kiện.</w:t>
      </w:r>
    </w:p>
    <w:p>
      <w:pPr>
        <w:pStyle w:val="ListParagraph"/>
        <w:numPr>
          <w:ilvl w:val="0"/>
          <w:numId w:val="2"/>
        </w:numPr>
        <w:spacing w:after="60" w:line="276"/>
      </w:pPr>
      <w:r>
        <w:rPr>
          <w:rFonts w:ascii="Calibri" w:cs="Calibri" w:eastAsia="Calibri" w:hAnsi="Calibri"/>
          <w:sz w:val="21"/>
          <w:szCs w:val="21"/>
        </w:rPr>
        <w:t xml:space="preserve">Xem xét định kỳ: kết luận Giữ nguyên / Cần sửa / Hủy bỏ cho tài liệu bộ phận mình sở hữu.</w:t>
      </w:r>
    </w:p>
    <w:p>
      <w:pPr>
        <w:pStyle w:val="ListParagraph"/>
        <w:numPr>
          <w:ilvl w:val="0"/>
          <w:numId w:val="2"/>
        </w:numPr>
        <w:spacing w:after="60" w:line="276"/>
      </w:pPr>
      <w:r>
        <w:rPr>
          <w:rFonts w:ascii="Calibri" w:cs="Calibri" w:eastAsia="Calibri" w:hAnsi="Calibri"/>
          <w:sz w:val="21"/>
          <w:szCs w:val="21"/>
        </w:rPr>
        <w:t xml:space="preserve">Gói ban hành: gom nhiều tài liệu ban hành đồng loạt.</w:t>
      </w:r>
    </w:p>
    <w:p>
      <w:pPr>
        <w:pStyle w:val="Heading2"/>
        <w:spacing w:before="200" w:after="90"/>
      </w:pPr>
      <w:r>
        <w:rPr>
          <w:rFonts w:ascii="Calibri" w:cs="Calibri" w:eastAsia="Calibri" w:hAnsi="Calibri"/>
          <w:b/>
          <w:bCs/>
          <w:color w:val="002B54"/>
          <w:sz w:val="24"/>
          <w:szCs w:val="24"/>
        </w:rPr>
        <w:t xml:space="preserve">Kiểm soát tài liệu site (DC Site)</w:t>
      </w:r>
    </w:p>
    <w:p>
      <w:pPr>
        <w:pStyle w:val="ListParagraph"/>
        <w:numPr>
          <w:ilvl w:val="0"/>
          <w:numId w:val="2"/>
        </w:numPr>
        <w:spacing w:after="60" w:line="276"/>
      </w:pPr>
      <w:r>
        <w:rPr>
          <w:rFonts w:ascii="Calibri" w:cs="Calibri" w:eastAsia="Calibri" w:hAnsi="Calibri"/>
          <w:sz w:val="21"/>
          <w:szCs w:val="21"/>
        </w:rPr>
        <w:t xml:space="preserve">Chờ site phản hồi: hàng chờ các tài liệu ban hành tới site mình; xem PDF trực tiếp trong trang rồi Xác nhận tiếp nhận hoặc Từ chối (chọn loại sai sót + lý do).</w:t>
      </w:r>
    </w:p>
    <w:p>
      <w:pPr>
        <w:pStyle w:val="ListParagraph"/>
        <w:numPr>
          <w:ilvl w:val="0"/>
          <w:numId w:val="2"/>
        </w:numPr>
        <w:spacing w:after="60" w:line="276"/>
      </w:pPr>
      <w:r>
        <w:rPr>
          <w:rFonts w:ascii="Calibri" w:cs="Calibri" w:eastAsia="Calibri" w:hAnsi="Calibri"/>
          <w:sz w:val="21"/>
          <w:szCs w:val="21"/>
        </w:rPr>
        <w:t xml:space="preserve">Báo bất thường (site): thẩm định report của người đọc → chuyển thành từ chối receipt hoặc bác bỏ.</w:t>
      </w:r>
    </w:p>
    <w:p>
      <w:pPr>
        <w:pStyle w:val="Heading2"/>
        <w:spacing w:before="200" w:after="90"/>
      </w:pPr>
      <w:r>
        <w:rPr>
          <w:rFonts w:ascii="Calibri" w:cs="Calibri" w:eastAsia="Calibri" w:hAnsi="Calibri"/>
          <w:b/>
          <w:bCs/>
          <w:color w:val="002B54"/>
          <w:sz w:val="24"/>
          <w:szCs w:val="24"/>
        </w:rPr>
        <w:t xml:space="preserve">Người đọc (Reader)</w:t>
      </w:r>
    </w:p>
    <w:p>
      <w:pPr>
        <w:pStyle w:val="ListParagraph"/>
        <w:numPr>
          <w:ilvl w:val="0"/>
          <w:numId w:val="2"/>
        </w:numPr>
        <w:spacing w:after="60" w:line="276"/>
      </w:pPr>
      <w:r>
        <w:rPr>
          <w:rFonts w:ascii="Calibri" w:cs="Calibri" w:eastAsia="Calibri" w:hAnsi="Calibri"/>
          <w:sz w:val="21"/>
          <w:szCs w:val="21"/>
        </w:rPr>
        <w:t xml:space="preserve">Danh mục &amp; tìm kiếm: tra cứu tài liệu hiện hành theo phạm vi; lọc đa chiều (loại, nguồn, phạm vi, BU/Site/Phòng ban, ngày hiệu lực, cấp khớp).</w:t>
      </w:r>
    </w:p>
    <w:p>
      <w:pPr>
        <w:pStyle w:val="ListParagraph"/>
        <w:numPr>
          <w:ilvl w:val="0"/>
          <w:numId w:val="2"/>
        </w:numPr>
        <w:spacing w:after="60" w:line="276"/>
      </w:pPr>
      <w:r>
        <w:rPr>
          <w:rFonts w:ascii="Calibri" w:cs="Calibri" w:eastAsia="Calibri" w:hAnsi="Calibri"/>
          <w:sz w:val="21"/>
          <w:szCs w:val="21"/>
        </w:rPr>
        <w:t xml:space="preserve">Xem chi tiết: PDF hiển thị trực tiếp trong trang; xác nhận đã đọc; báo bất thường nếu phát hiện sai.</w:t>
      </w:r>
    </w:p>
    <w:p>
      <w:pPr>
        <w:pStyle w:val="Heading2"/>
        <w:spacing w:before="200" w:after="90"/>
      </w:pPr>
      <w:r>
        <w:rPr>
          <w:rFonts w:ascii="Calibri" w:cs="Calibri" w:eastAsia="Calibri" w:hAnsi="Calibri"/>
          <w:b/>
          <w:bCs/>
          <w:color w:val="002B54"/>
          <w:sz w:val="24"/>
          <w:szCs w:val="24"/>
        </w:rPr>
        <w:t xml:space="preserve">Dùng chung</w:t>
      </w:r>
    </w:p>
    <w:p>
      <w:pPr>
        <w:pStyle w:val="ListParagraph"/>
        <w:numPr>
          <w:ilvl w:val="0"/>
          <w:numId w:val="2"/>
        </w:numPr>
        <w:spacing w:after="60" w:line="276"/>
      </w:pPr>
      <w:r>
        <w:rPr>
          <w:rFonts w:ascii="Calibri" w:cs="Calibri" w:eastAsia="Calibri" w:hAnsi="Calibri"/>
          <w:sz w:val="21"/>
          <w:szCs w:val="21"/>
        </w:rPr>
        <w:t xml:space="preserve">Tìm kiếm toàn văn (chạy độc lập với lớp AI); gợi ý nhanh trên thanh điều hướng.</w:t>
      </w:r>
    </w:p>
    <w:p>
      <w:pPr>
        <w:pStyle w:val="ListParagraph"/>
        <w:numPr>
          <w:ilvl w:val="0"/>
          <w:numId w:val="2"/>
        </w:numPr>
        <w:spacing w:after="60" w:line="276"/>
      </w:pPr>
      <w:r>
        <w:rPr>
          <w:rFonts w:ascii="Calibri" w:cs="Calibri" w:eastAsia="Calibri" w:hAnsi="Calibri"/>
          <w:sz w:val="21"/>
          <w:szCs w:val="21"/>
        </w:rPr>
        <w:t xml:space="preserve">In bản sao có kiểm soát: gắn mã QR theo site để tra cứu nguồn gốc; thu hồi bản in.</w:t>
      </w:r>
    </w:p>
    <w:p>
      <w:pPr>
        <w:pStyle w:val="ListParagraph"/>
        <w:numPr>
          <w:ilvl w:val="0"/>
          <w:numId w:val="2"/>
        </w:numPr>
        <w:spacing w:after="60" w:line="276"/>
      </w:pPr>
      <w:r>
        <w:rPr>
          <w:rFonts w:ascii="Calibri" w:cs="Calibri" w:eastAsia="Calibri" w:hAnsi="Calibri"/>
          <w:sz w:val="21"/>
          <w:szCs w:val="21"/>
        </w:rPr>
        <w:t xml:space="preserve">Ghi vết (chỉ ghi thêm): ai làm gì, khi nào — không sửa, không xóa.</w:t>
      </w:r>
    </w:p>
    <w:p>
      <w:r>
        <w:br w:type="page"/>
      </w:r>
    </w:p>
    <w:p>
      <w:pPr>
        <w:pStyle w:val="Heading1"/>
        <w:pBdr>
          <w:bottom w:val="single" w:color="DCEBFA" w:sz="10" w:space="6"/>
        </w:pBdr>
        <w:spacing w:before="300" w:after="140"/>
      </w:pPr>
      <w:r>
        <w:rPr>
          <w:rFonts w:ascii="Calibri" w:cs="Calibri" w:eastAsia="Calibri" w:hAnsi="Calibri"/>
          <w:b/>
          <w:bCs/>
          <w:color w:val="004B8D"/>
          <w:sz w:val="30"/>
          <w:szCs w:val="30"/>
        </w:rPr>
        <w:t xml:space="preserve">4. Vòng đời tài liệu &amp; trạng thái</w:t>
      </w:r>
    </w:p>
    <w:tbl>
      <w:tblPr>
        <w:tblW w:type="pct" w:w="100%"/>
        <w:tblBorders>
          <w:top w:val="single" w:color="DCEBFA" w:sz="4"/>
          <w:left w:val="single" w:color="DCEBFA" w:sz="4"/>
          <w:bottom w:val="single" w:color="DCEBFA" w:sz="4"/>
          <w:right w:val="single" w:color="DCEBFA" w:sz="4"/>
          <w:insideH w:val="single" w:color="DCEBFA" w:sz="4"/>
          <w:insideV w:val="single" w:color="DCEBFA" w:sz="4"/>
        </w:tblBorders>
      </w:tblPr>
      <w:tblGrid>
        <w:gridCol w:w="100"/>
        <w:gridCol w:w="100"/>
      </w:tblGrid>
      <w:tr>
        <w:trPr>
          <w:tblHeader/>
        </w:trPr>
        <w:tc>
          <w:tcPr>
            <w:tcW w:type="pct" w:w="30%"/>
            <w:shd w:fill="EBF4FC" w:color="auto" w:val="clear"/>
            <w:tcMar>
              <w:top w:type="dxa" w:w="60"/>
              <w:left w:type="dxa" w:w="110"/>
              <w:bottom w:type="dxa" w:w="60"/>
              <w:right w:type="dxa" w:w="110"/>
            </w:tcMar>
            <w:vAlign w:val="center"/>
          </w:tcPr>
          <w:p>
            <w:pPr>
              <w:spacing w:after="0" w:line="252"/>
            </w:pPr>
            <w:r>
              <w:rPr>
                <w:rFonts w:ascii="Calibri" w:cs="Calibri" w:eastAsia="Calibri" w:hAnsi="Calibri"/>
                <w:b/>
                <w:bCs/>
                <w:color w:val="002B54"/>
                <w:sz w:val="20"/>
                <w:szCs w:val="20"/>
              </w:rPr>
              <w:t xml:space="preserve">Trạng thái</w:t>
            </w:r>
          </w:p>
        </w:tc>
        <w:tc>
          <w:tcPr>
            <w:tcW w:type="pct" w:w="70%"/>
            <w:shd w:fill="EBF4FC" w:color="auto" w:val="clear"/>
            <w:tcMar>
              <w:top w:type="dxa" w:w="60"/>
              <w:left w:type="dxa" w:w="110"/>
              <w:bottom w:type="dxa" w:w="60"/>
              <w:right w:type="dxa" w:w="110"/>
            </w:tcMar>
            <w:vAlign w:val="center"/>
          </w:tcPr>
          <w:p>
            <w:pPr>
              <w:spacing w:after="0" w:line="252"/>
            </w:pPr>
            <w:r>
              <w:rPr>
                <w:rFonts w:ascii="Calibri" w:cs="Calibri" w:eastAsia="Calibri" w:hAnsi="Calibri"/>
                <w:b/>
                <w:bCs/>
                <w:color w:val="002B54"/>
                <w:sz w:val="20"/>
                <w:szCs w:val="20"/>
              </w:rPr>
              <w:t xml:space="preserve">Ý nghĩa</w:t>
            </w:r>
          </w:p>
        </w:tc>
      </w:tr>
      <w:tr>
        <w:tc>
          <w:tcPr>
            <w:tcW w:type="pct" w:w="30%"/>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Chờ hoàn thiện</w:t>
            </w:r>
          </w:p>
        </w:tc>
        <w:tc>
          <w:tcPr>
            <w:tcW w:type="pct" w:w="70%"/>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Bản nháp, chưa ban hành.</w:t>
            </w:r>
          </w:p>
        </w:tc>
      </w:tr>
      <w:tr>
        <w:tc>
          <w:tcPr>
            <w:tcW w:type="pct" w:w="30%"/>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Đã ban hành</w:t>
            </w:r>
          </w:p>
        </w:tc>
        <w:tc>
          <w:tcPr>
            <w:tcW w:type="pct" w:w="70%"/>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Đang hiện hành; đã gửi tới site để tiếp nhận.</w:t>
            </w:r>
          </w:p>
        </w:tc>
      </w:tr>
      <w:tr>
        <w:tc>
          <w:tcPr>
            <w:tcW w:type="pct" w:w="30%"/>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Đã thu hồi</w:t>
            </w:r>
          </w:p>
        </w:tc>
        <w:tc>
          <w:tcPr>
            <w:tcW w:type="pct" w:w="70%"/>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Author thu hồi — không còn hiệu lực.</w:t>
            </w:r>
          </w:p>
        </w:tc>
      </w:tr>
      <w:tr>
        <w:tc>
          <w:tcPr>
            <w:tcW w:type="pct" w:w="30%"/>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Hết hiệu lực</w:t>
            </w:r>
          </w:p>
        </w:tc>
        <w:tc>
          <w:tcPr>
            <w:tcW w:type="pct" w:w="70%"/>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Bị phiên bản mới thay thế.</w:t>
            </w:r>
          </w:p>
        </w:tc>
      </w:tr>
    </w:tbl>
    <w:p>
      <w:pPr>
        <w:pStyle w:val="Heading2"/>
        <w:spacing w:before="200" w:after="90"/>
      </w:pPr>
      <w:r>
        <w:rPr>
          <w:rFonts w:ascii="Calibri" w:cs="Calibri" w:eastAsia="Calibri" w:hAnsi="Calibri"/>
          <w:b/>
          <w:bCs/>
          <w:color w:val="002B54"/>
          <w:sz w:val="24"/>
          <w:szCs w:val="24"/>
        </w:rPr>
        <w:t xml:space="preserve">Trạng thái tiếp nhận theo từng site (receipt)</w:t>
      </w:r>
    </w:p>
    <w:tbl>
      <w:tblPr>
        <w:tblW w:type="pct" w:w="100%"/>
        <w:tblBorders>
          <w:top w:val="single" w:color="DCEBFA" w:sz="4"/>
          <w:left w:val="single" w:color="DCEBFA" w:sz="4"/>
          <w:bottom w:val="single" w:color="DCEBFA" w:sz="4"/>
          <w:right w:val="single" w:color="DCEBFA" w:sz="4"/>
          <w:insideH w:val="single" w:color="DCEBFA" w:sz="4"/>
          <w:insideV w:val="single" w:color="DCEBFA" w:sz="4"/>
        </w:tblBorders>
      </w:tblPr>
      <w:tblGrid>
        <w:gridCol w:w="100"/>
        <w:gridCol w:w="100"/>
      </w:tblGrid>
      <w:tr>
        <w:trPr>
          <w:tblHeader/>
        </w:trPr>
        <w:tc>
          <w:tcPr>
            <w:tcW w:type="pct" w:w="30%"/>
            <w:shd w:fill="EBF4FC" w:color="auto" w:val="clear"/>
            <w:tcMar>
              <w:top w:type="dxa" w:w="60"/>
              <w:left w:type="dxa" w:w="110"/>
              <w:bottom w:type="dxa" w:w="60"/>
              <w:right w:type="dxa" w:w="110"/>
            </w:tcMar>
            <w:vAlign w:val="center"/>
          </w:tcPr>
          <w:p>
            <w:pPr>
              <w:spacing w:after="0" w:line="252"/>
            </w:pPr>
            <w:r>
              <w:rPr>
                <w:rFonts w:ascii="Calibri" w:cs="Calibri" w:eastAsia="Calibri" w:hAnsi="Calibri"/>
                <w:b/>
                <w:bCs/>
                <w:color w:val="002B54"/>
                <w:sz w:val="20"/>
                <w:szCs w:val="20"/>
              </w:rPr>
              <w:t xml:space="preserve">Receipt</w:t>
            </w:r>
          </w:p>
        </w:tc>
        <w:tc>
          <w:tcPr>
            <w:tcW w:type="pct" w:w="70%"/>
            <w:shd w:fill="EBF4FC" w:color="auto" w:val="clear"/>
            <w:tcMar>
              <w:top w:type="dxa" w:w="60"/>
              <w:left w:type="dxa" w:w="110"/>
              <w:bottom w:type="dxa" w:w="60"/>
              <w:right w:type="dxa" w:w="110"/>
            </w:tcMar>
            <w:vAlign w:val="center"/>
          </w:tcPr>
          <w:p>
            <w:pPr>
              <w:spacing w:after="0" w:line="252"/>
            </w:pPr>
            <w:r>
              <w:rPr>
                <w:rFonts w:ascii="Calibri" w:cs="Calibri" w:eastAsia="Calibri" w:hAnsi="Calibri"/>
                <w:b/>
                <w:bCs/>
                <w:color w:val="002B54"/>
                <w:sz w:val="20"/>
                <w:szCs w:val="20"/>
              </w:rPr>
              <w:t xml:space="preserve">Ý nghĩa</w:t>
            </w:r>
          </w:p>
        </w:tc>
      </w:tr>
      <w:tr>
        <w:tc>
          <w:tcPr>
            <w:tcW w:type="pct" w:w="30%"/>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Chờ phản hồi</w:t>
            </w:r>
          </w:p>
        </w:tc>
        <w:tc>
          <w:tcPr>
            <w:tcW w:type="pct" w:w="70%"/>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Site chưa phản hồi.</w:t>
            </w:r>
          </w:p>
        </w:tc>
      </w:tr>
      <w:tr>
        <w:tc>
          <w:tcPr>
            <w:tcW w:type="pct" w:w="30%"/>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Đã chấp nhận</w:t>
            </w:r>
          </w:p>
        </w:tc>
        <w:tc>
          <w:tcPr>
            <w:tcW w:type="pct" w:w="70%"/>
            <w:shd w:fill="F4F8FC" w:color="auto" w:val="clear"/>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Site tiếp nhận, ghi ngày áp dụng.</w:t>
            </w:r>
          </w:p>
        </w:tc>
      </w:tr>
      <w:tr>
        <w:tc>
          <w:tcPr>
            <w:tcW w:type="pct" w:w="30%"/>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Đã từ chối</w:t>
            </w:r>
          </w:p>
        </w:tc>
        <w:tc>
          <w:tcPr>
            <w:tcW w:type="pct" w:w="70%"/>
            <w:tcMar>
              <w:top w:type="dxa" w:w="60"/>
              <w:left w:type="dxa" w:w="110"/>
              <w:bottom w:type="dxa" w:w="60"/>
              <w:right w:type="dxa" w:w="110"/>
            </w:tcMar>
            <w:vAlign w:val="center"/>
          </w:tcPr>
          <w:p>
            <w:pPr>
              <w:spacing w:after="0" w:line="252"/>
            </w:pPr>
            <w:r>
              <w:rPr>
                <w:rFonts w:ascii="Calibri" w:cs="Calibri" w:eastAsia="Calibri" w:hAnsi="Calibri"/>
                <w:sz w:val="20"/>
                <w:szCs w:val="20"/>
              </w:rPr>
              <w:t xml:space="preserve">Site trả lại: Sai thông tin đăng ký hoặc Sai nội dung tài liệu (kèm lý do).</w:t>
            </w:r>
          </w:p>
        </w:tc>
      </w:tr>
    </w:tbl>
    <w:p>
      <w:pPr>
        <w:pStyle w:val="Heading2"/>
        <w:spacing w:before="200" w:after="90"/>
      </w:pPr>
      <w:r>
        <w:rPr>
          <w:rFonts w:ascii="Calibri" w:cs="Calibri" w:eastAsia="Calibri" w:hAnsi="Calibri"/>
          <w:b/>
          <w:bCs/>
          <w:color w:val="002B54"/>
          <w:sz w:val="24"/>
          <w:szCs w:val="24"/>
        </w:rPr>
        <w:t xml:space="preserve">Trạng thái tổng hợp (suy từ các receipt)</w:t>
      </w:r>
    </w:p>
    <w:p>
      <w:pPr>
        <w:spacing w:after="120" w:before="0" w:line="276"/>
      </w:pPr>
      <w:r>
        <w:rPr>
          <w:rFonts w:ascii="Calibri" w:cs="Calibri" w:eastAsia="Calibri" w:hAnsi="Calibri"/>
          <w:sz w:val="21"/>
          <w:szCs w:val="21"/>
        </w:rPr>
        <w:t xml:space="preserve">Chưa phát hành → Đang chờ → Một phần (có site chấp nhận) → Toàn bộ (tất cả chấp nhận). Có bất kỳ từ chối nào → Tranh chấp (ưu tiên cảnh báo để Author xử lý).</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2026-10-19T05:37:35.872Z</dcterms:created>
  <dcterms:modified xsi:type="dcterms:W3CDTF">2026-10-19T05:37:35.890Z</dcterms:modified>
</cp:coreProperties>
</file>

<file path=docProps/custom.xml><?xml version="1.0" encoding="utf-8"?>
<Properties xmlns="http://schemas.openxmlformats.org/officeDocument/2006/custom-properties" xmlns:vt="http://schemas.openxmlformats.org/officeDocument/2006/docPropsVTypes"/>
</file>