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p>
    <w:p>
      <w:pPr>
        <w:pStyle w:val="Subtitle"/>
      </w:pPr>
      <w:r>
        <w:t xml:space="preserve">Bài</w:t>
      </w:r>
      <w:r>
        <w:t xml:space="preserve"> </w:t>
      </w:r>
      <w:r>
        <w:t xml:space="preserve">đề</w:t>
      </w:r>
      <w:r>
        <w:t xml:space="preserve"> </w:t>
      </w:r>
      <w:r>
        <w:t xml:space="preserve">dẫn</w:t>
      </w:r>
      <w:r>
        <w:t xml:space="preserve"> </w:t>
      </w:r>
      <w:r>
        <w:t xml:space="preserve">giới</w:t>
      </w:r>
      <w:r>
        <w:t xml:space="preserve"> </w:t>
      </w:r>
      <w:r>
        <w:t xml:space="preserve">thiệu</w:t>
      </w:r>
      <w:r>
        <w:t xml:space="preserve"> </w:t>
      </w:r>
      <w:r>
        <w:t xml:space="preserve">bản</w:t>
      </w:r>
      <w:r>
        <w:t xml:space="preserve"> </w:t>
      </w:r>
      <w:r>
        <w:t xml:space="preserve">thảo</w:t>
      </w:r>
      <w:r>
        <w:t xml:space="preserve"> </w:t>
      </w:r>
      <w:r>
        <w:t xml:space="preserve">của</w:t>
      </w:r>
      <w:r>
        <w:t xml:space="preserve"> </w:t>
      </w:r>
      <w:r>
        <w:t xml:space="preserve">Hoàng</w:t>
      </w:r>
      <w:r>
        <w:t xml:space="preserve"> </w:t>
      </w:r>
      <w:r>
        <w:t xml:space="preserve">Xuân</w:t>
      </w:r>
      <w:r>
        <w:t xml:space="preserve"> </w:t>
      </w:r>
      <w:r>
        <w:t xml:space="preserve">Hãn</w:t>
      </w:r>
      <w:r>
        <w:t xml:space="preserve"> </w:t>
      </w:r>
      <w:r>
        <w:t xml:space="preserve">(BULAC,</w:t>
      </w:r>
      <w:r>
        <w:t xml:space="preserve"> </w:t>
      </w:r>
      <w:r>
        <w:t xml:space="preserve">ARC.HOANG.109)</w:t>
      </w:r>
    </w:p>
    <w:bookmarkStart w:id="22" w:name="lời-đề-dẫn"/>
    <w:p>
      <w:pPr>
        <w:pStyle w:val="Heading1"/>
      </w:pPr>
      <w:r>
        <w:t xml:space="preserve">Lời đề dẫn</w:t>
      </w:r>
    </w:p>
    <w:p>
      <w:pPr>
        <w:pStyle w:val="FirstParagraph"/>
      </w:pPr>
      <w:r>
        <w:t xml:space="preserve">Ngày nay, người Việt đi từ Hà Nội vào Sài Gòn bằng máy bay mất hơn hai giờ, bằng tàu hỏa mất hơn một ngày. Hai thế kỷ trước, quãng đường ấy được đo bằng tầm, tính bằng ngày trạm, và đi qua hàng trăm cái quán, cái cầu, cái chợ, cái đò, mỗi nơi mang một tên Nôm mộc mạc như Chợ Gối, Quán Cháo, Cầu Lái, Đá Voi.</w:t>
      </w:r>
      <w:r>
        <w:t xml:space="preserve"> </w:t>
      </w:r>
      <w:r>
        <w:rPr>
          <w:iCs/>
          <w:i/>
        </w:rPr>
        <w:t xml:space="preserve">Đường sá nước ta xưa</w:t>
      </w:r>
      <w:r>
        <w:t xml:space="preserve"> </w:t>
      </w:r>
      <w:r>
        <w:t xml:space="preserve">là cuốn sổ trong đó Hoàng Xuân Hãn gom nhặt và chép lại những con đường ấy. Bản thảo chưa từng được in. Nó nằm trong bộ sưu tập riêng của ông, và nay được lưu giữ tại Thư viện Đại học Ngôn ngữ và Văn minh (BULAC) ở Paris. Bản scan có thể xem tại</w:t>
      </w:r>
      <w:r>
        <w:t xml:space="preserve"> </w:t>
      </w:r>
      <w:hyperlink r:id="rId20">
        <w:r>
          <w:rPr>
            <w:rStyle w:val="Hyperlink"/>
          </w:rPr>
          <w:t xml:space="preserve">thư viện số BULAC</w:t>
        </w:r>
      </w:hyperlink>
      <w:r>
        <w:t xml:space="preserve"> </w:t>
      </w:r>
      <w:r>
        <w:t xml:space="preserve">và</w:t>
      </w:r>
      <w:r>
        <w:t xml:space="preserve"> </w:t>
      </w:r>
      <w:hyperlink r:id="rId21">
        <w:r>
          <w:rPr>
            <w:rStyle w:val="Hyperlink"/>
          </w:rPr>
          <w:t xml:space="preserve">Internet Archive</w:t>
        </w:r>
      </w:hyperlink>
      <w:r>
        <w:t xml:space="preserve">.</w:t>
      </w:r>
    </w:p>
    <w:p>
      <w:pPr>
        <w:pStyle w:val="BodyText"/>
      </w:pPr>
      <w:r>
        <w:t xml:space="preserve">Bài đề dẫn này giới thiệu tác giả và hoàn cảnh ra đời của bản thảo, hình thức và nội dung của nó, các nguồn tư liệu, và những giá trị mà người đọc hôm nay có thể tìm thấy.</w:t>
      </w:r>
    </w:p>
    <w:bookmarkEnd w:id="22"/>
    <w:bookmarkStart w:id="23" w:name="tác-giả-và-hoàn-cảnh-ra-đời"/>
    <w:p>
      <w:pPr>
        <w:pStyle w:val="Heading1"/>
      </w:pPr>
      <w:r>
        <w:t xml:space="preserve">Tác giả và hoàn cảnh ra đời</w:t>
      </w:r>
    </w:p>
    <w:p>
      <w:pPr>
        <w:pStyle w:val="FirstParagraph"/>
      </w:pPr>
      <w:r>
        <w:t xml:space="preserve">Hoàng Xuân Hãn (1908-1996), người Đức Thọ, Hà Tĩnh, là nhà toán học, nhà giáo dục và nhà sử học. Ông là tác giả</w:t>
      </w:r>
      <w:r>
        <w:t xml:space="preserve"> </w:t>
      </w:r>
      <w:r>
        <w:rPr>
          <w:iCs/>
          <w:i/>
        </w:rPr>
        <w:t xml:space="preserve">Danh từ khoa học</w:t>
      </w:r>
      <w:r>
        <w:t xml:space="preserve">,</w:t>
      </w:r>
      <w:r>
        <w:t xml:space="preserve"> </w:t>
      </w:r>
      <w:r>
        <w:rPr>
          <w:iCs/>
          <w:i/>
        </w:rPr>
        <w:t xml:space="preserve">Lý Thường Kiệt</w:t>
      </w:r>
      <w:r>
        <w:t xml:space="preserve">,</w:t>
      </w:r>
      <w:r>
        <w:t xml:space="preserve"> </w:t>
      </w:r>
      <w:r>
        <w:rPr>
          <w:iCs/>
          <w:i/>
        </w:rPr>
        <w:t xml:space="preserve">La Sơn phu tử</w:t>
      </w:r>
      <w:r>
        <w:t xml:space="preserve">, và từng giữ chức Bộ trưởng Bộ Giáo dục và Mỹ thuật năm 1945. Ngoài các công trình đã in, ông để lại một kho bản thảo, sổ ghi chép và tư liệu Hán Nôm rất lớn. Bản thảo này là một phần của kho ấy.</w:t>
      </w:r>
    </w:p>
    <w:p>
      <w:pPr>
        <w:pStyle w:val="BodyText"/>
      </w:pPr>
      <w:r>
        <w:t xml:space="preserve">Theo lời tác giả do thư viện ghi lại, ông bắt đầu viết ở Hà Nội sau Cách mạng tháng Tám 1945. Đó là thời kỳ thiếu giấy, nên toàn bộ tập được viết trên giấy dùng lại: mặt sau giấy tiêu đề in sẵn của hãng thủy tinh Verrerie du Nord (71 Borgnis Desbordes, Hà Nội). Bìa là bìa một hồ sơ cũ của Tòa thượng thẩm Đông Dương.</w:t>
      </w:r>
    </w:p>
    <w:p>
      <w:pPr>
        <w:pStyle w:val="BodyText"/>
      </w:pPr>
      <w:r>
        <w:t xml:space="preserve">Gần ba mươi năm sau, ngày 3 tháng 3 năm 1973 ở Paris, khi đóng lại tập bản thảo, ông viết thêm một lời ghi ở trang đầu:</w:t>
      </w:r>
    </w:p>
    <w:p>
      <w:pPr>
        <w:pStyle w:val="BlockText"/>
      </w:pPr>
      <w:r>
        <w:t xml:space="preserve">“</w:t>
      </w:r>
      <w:r>
        <w:t xml:space="preserve">Bìa vàng cũ nguyên là bìa của một hồ-sơ tòa-án ĐẠI HÌNH THỰC-DÂN xử các nhà cách mạng Việt-nam ở Hà-nội. […]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r>
        <w:t xml:space="preserve">”</w:t>
      </w:r>
    </w:p>
    <w:p>
      <w:pPr>
        <w:pStyle w:val="FirstParagraph"/>
      </w:pPr>
      <w:r>
        <w:t xml:space="preserve">Rồi ông nói rõ lý do giữ cái bìa: để làm chứng cho một thời đại. Ngay từ trang đầu, cuốn sổ về đường sá xưa đã mang theo dấu vết của một giai đoạn lịch sử khác, giai đoạn của chính người viết.</w:t>
      </w:r>
    </w:p>
    <w:bookmarkEnd w:id="23"/>
    <w:bookmarkStart w:id="24" w:name="hình-thức-bản-thảo"/>
    <w:p>
      <w:pPr>
        <w:pStyle w:val="Heading1"/>
      </w:pPr>
      <w:r>
        <w:t xml:space="preserve">Hình thức bản thảo</w:t>
      </w:r>
    </w:p>
    <w:p>
      <w:pPr>
        <w:numPr>
          <w:ilvl w:val="0"/>
          <w:numId w:val="1001"/>
        </w:numPr>
        <w:pStyle w:val="Compact"/>
      </w:pPr>
      <w:r>
        <w:rPr>
          <w:bCs/>
          <w:b/>
        </w:rPr>
        <w:t xml:space="preserve">Khổ giấy:</w:t>
      </w:r>
      <w:r>
        <w:t xml:space="preserve"> </w:t>
      </w:r>
      <w:r>
        <w:t xml:space="preserve">216 x 145 mm. Bản số hóa có 383 trang ảnh, tính cả bìa và các tờ lót.</w:t>
      </w:r>
    </w:p>
    <w:p>
      <w:pPr>
        <w:numPr>
          <w:ilvl w:val="0"/>
          <w:numId w:val="1001"/>
        </w:numPr>
        <w:pStyle w:val="Compact"/>
      </w:pPr>
      <w:r>
        <w:rPr>
          <w:bCs/>
          <w:b/>
        </w:rPr>
        <w:t xml:space="preserve">Chữ viết:</w:t>
      </w:r>
      <w:r>
        <w:t xml:space="preserve"> </w:t>
      </w:r>
      <w:r>
        <w:t xml:space="preserve">chữ quốc ngữ viết tay, phần lớn bằng bút chì và mực. Có chú thích mực tím, mực đỏ và nhiều ghi chú bên lề. Chữ Hán và chữ Nôm được viết xen ngay trong dòng hoặc đặt thành cột riêng.</w:t>
      </w:r>
    </w:p>
    <w:p>
      <w:pPr>
        <w:numPr>
          <w:ilvl w:val="0"/>
          <w:numId w:val="1001"/>
        </w:numPr>
        <w:pStyle w:val="Compact"/>
      </w:pPr>
      <w:r>
        <w:rPr>
          <w:bCs/>
          <w:b/>
        </w:rPr>
        <w:t xml:space="preserve">Cách đánh số:</w:t>
      </w:r>
      <w:r>
        <w:t xml:space="preserve"> </w:t>
      </w:r>
      <w:r>
        <w:t xml:space="preserve">tác giả đánh số trang ở góc phải trên, và đánh số trang con cho từng phần ở giữa đầu trang. Ví dụ</w:t>
      </w:r>
      <w:r>
        <w:t xml:space="preserve"> </w:t>
      </w:r>
      <w:r>
        <w:t xml:space="preserve">“</w:t>
      </w:r>
      <w:r>
        <w:t xml:space="preserve">TTNĐ 3</w:t>
      </w:r>
      <w:r>
        <w:t xml:space="preserve">”</w:t>
      </w:r>
      <w:r>
        <w:t xml:space="preserve">,</w:t>
      </w:r>
      <w:r>
        <w:t xml:space="preserve"> </w:t>
      </w:r>
      <w:r>
        <w:t xml:space="preserve">“</w:t>
      </w:r>
      <w:r>
        <w:t xml:space="preserve">Nghệ an 27</w:t>
      </w:r>
      <w:r>
        <w:t xml:space="preserve">”</w:t>
      </w:r>
      <w:r>
        <w:t xml:space="preserve">,</w:t>
      </w:r>
      <w:r>
        <w:t xml:space="preserve"> </w:t>
      </w:r>
      <w:r>
        <w:t xml:space="preserve">“</w:t>
      </w:r>
      <w:r>
        <w:t xml:space="preserve">T.L đi Nam 50</w:t>
      </w:r>
      <w:r>
        <w:t xml:space="preserve">”</w:t>
      </w:r>
      <w:r>
        <w:t xml:space="preserve">.</w:t>
      </w:r>
    </w:p>
    <w:p>
      <w:pPr>
        <w:numPr>
          <w:ilvl w:val="0"/>
          <w:numId w:val="1001"/>
        </w:numPr>
        <w:pStyle w:val="Compact"/>
      </w:pPr>
      <w:r>
        <w:rPr>
          <w:bCs/>
          <w:b/>
        </w:rPr>
        <w:t xml:space="preserve">Ký hiệu riêng:</w:t>
      </w:r>
      <w:r>
        <w:t xml:space="preserve"> </w:t>
      </w:r>
      <w:r>
        <w:t xml:space="preserve">ông vẽ những chiếc thuyền buồm nhỏ ở góc trang để đánh dấu đường thủy, và vẽ thuyền kèm xe cho đường bộ - thủy.</w:t>
      </w:r>
    </w:p>
    <w:p>
      <w:pPr>
        <w:numPr>
          <w:ilvl w:val="0"/>
          <w:numId w:val="1001"/>
        </w:numPr>
        <w:pStyle w:val="Compact"/>
      </w:pPr>
      <w:r>
        <w:rPr>
          <w:bCs/>
          <w:b/>
        </w:rPr>
        <w:t xml:space="preserve">Dấu tích lưu giữ:</w:t>
      </w:r>
      <w:r>
        <w:t xml:space="preserve"> </w:t>
      </w:r>
      <w:r>
        <w:t xml:space="preserve">trên tập có ấn tàng thư của Hoàng Xuân Hãn và dấu của thư viện BULAC.</w:t>
      </w:r>
    </w:p>
    <w:bookmarkEnd w:id="24"/>
    <w:bookmarkStart w:id="25" w:name="nội-dung-và-bố-cục"/>
    <w:p>
      <w:pPr>
        <w:pStyle w:val="Heading1"/>
      </w:pPr>
      <w:r>
        <w:t xml:space="preserve">Nội dung và bố cục</w:t>
      </w:r>
    </w:p>
    <w:p>
      <w:pPr>
        <w:pStyle w:val="FirstParagraph"/>
      </w:pPr>
      <w:r>
        <w:t xml:space="preserve">Bản thảo không phải một cuốn sách viết liền mạch, mà là một</w:t>
      </w:r>
      <w:r>
        <w:t xml:space="preserve"> </w:t>
      </w:r>
      <w:r>
        <w:rPr>
          <w:bCs/>
          <w:b/>
        </w:rPr>
        <w:t xml:space="preserve">sổ khảo cứu</w:t>
      </w:r>
      <w:r>
        <w:t xml:space="preserve">. Tác giả chép lại, sắp xếp và đối chiếu các sách lộ trình chữ Hán đời Lê và đầu Nguyễn, rồi thêm chú thích của mình. Có thể chia làm bốn khối lớn.</w:t>
      </w:r>
    </w:p>
    <w:p>
      <w:pPr>
        <w:pStyle w:val="BodyText"/>
      </w:pPr>
      <w:r>
        <w:rPr>
          <w:bCs/>
          <w:b/>
        </w:rPr>
        <w:t xml:space="preserve">1. Khảo về các sách dùng.</w:t>
      </w:r>
      <w:r>
        <w:t xml:space="preserve"> </w:t>
      </w:r>
      <w:r>
        <w:t xml:space="preserve">Phần mở đầu giới thiệu và phê bình các nguồn. Phần quan trọng nhất là</w:t>
      </w:r>
      <w:r>
        <w:t xml:space="preserve"> </w:t>
      </w:r>
      <w:r>
        <w:rPr>
          <w:iCs/>
          <w:i/>
        </w:rPr>
        <w:t xml:space="preserve">Thiên tải nhàn đàm</w:t>
      </w:r>
      <w:r>
        <w:t xml:space="preserve"> </w:t>
      </w:r>
      <w:r>
        <w:t xml:space="preserve">(千載閒談) của Đàm Nghĩa Am, người làng Ông Mặc, huyện Đông Ngàn, Kinh Bắc, soạn năm 1810. Hoàng Xuân Hãn chép bài tựa và bài</w:t>
      </w:r>
      <w:r>
        <w:t xml:space="preserve"> </w:t>
      </w:r>
      <w:r>
        <w:rPr>
          <w:iCs/>
          <w:i/>
        </w:rPr>
        <w:t xml:space="preserve">Nhàn đàm tổng luận</w:t>
      </w:r>
      <w:r>
        <w:t xml:space="preserve">. Ông chỉ ra rằng Đàm Nghĩa Am, dù sống dưới triều Nguyễn, vẫn đặt Thăng Long lên đầu mọi lộ trình,</w:t>
      </w:r>
      <w:r>
        <w:t xml:space="preserve"> </w:t>
      </w:r>
      <w:r>
        <w:t xml:space="preserve">“</w:t>
      </w:r>
      <w:r>
        <w:t xml:space="preserve">vì lòng quyến luyến Lê, mà không thể bộc bạch được</w:t>
      </w:r>
      <w:r>
        <w:t xml:space="preserve">”</w:t>
      </w:r>
      <w:r>
        <w:t xml:space="preserve">. Phần này còn khảo về</w:t>
      </w:r>
      <w:r>
        <w:t xml:space="preserve"> </w:t>
      </w:r>
      <w:r>
        <w:rPr>
          <w:iCs/>
          <w:i/>
        </w:rPr>
        <w:t xml:space="preserve">Trình lục yếu lược</w:t>
      </w:r>
      <w:r>
        <w:t xml:space="preserve">,</w:t>
      </w:r>
      <w:r>
        <w:t xml:space="preserve"> </w:t>
      </w:r>
      <w:r>
        <w:rPr>
          <w:iCs/>
          <w:i/>
        </w:rPr>
        <w:t xml:space="preserve">Giao Châu dư địa chí</w:t>
      </w:r>
      <w:r>
        <w:t xml:space="preserve">,</w:t>
      </w:r>
      <w:r>
        <w:t xml:space="preserve"> </w:t>
      </w:r>
      <w:r>
        <w:rPr>
          <w:iCs/>
          <w:i/>
        </w:rPr>
        <w:t xml:space="preserve">Thiên Nam tứ chí lộ đồ</w:t>
      </w:r>
      <w:r>
        <w:t xml:space="preserve"> </w:t>
      </w:r>
      <w:r>
        <w:t xml:space="preserve">và nhiều sách khác.</w:t>
      </w:r>
    </w:p>
    <w:p>
      <w:pPr>
        <w:pStyle w:val="BodyText"/>
      </w:pPr>
      <w:r>
        <w:rPr>
          <w:bCs/>
          <w:b/>
        </w:rPr>
        <w:t xml:space="preserve">2. Đường đi theo từng trấn, sắp theo vần.</w:t>
      </w:r>
      <w:r>
        <w:t xml:space="preserve"> </w:t>
      </w:r>
      <w:r>
        <w:t xml:space="preserve">Đây là phần lớn nhất của bản thảo, gồm các tuyến đường kê theo từng địa phương:</w:t>
      </w:r>
      <w:r>
        <w:t xml:space="preserve"> </w:t>
      </w:r>
      <w:r>
        <w:t xml:space="preserve">- An Quảng, Bắc Kỳ thủy đạo, Bình Định, Bình Hòa, Bình Thuận, Cao Bằng;</w:t>
      </w:r>
      <w:r>
        <w:t xml:space="preserve"> </w:t>
      </w:r>
      <w:r>
        <w:t xml:space="preserve">- các cửa biển Thanh Nghệ Thuận Quảng;</w:t>
      </w:r>
      <w:r>
        <w:t xml:space="preserve"> </w:t>
      </w:r>
      <w:r>
        <w:t xml:space="preserve">- Dịch lộ (1817), Hải Dương, Hưng Hóa, Kinh Bắc, Lạng Sơn;</w:t>
      </w:r>
      <w:r>
        <w:t xml:space="preserve"> </w:t>
      </w:r>
      <w:r>
        <w:t xml:space="preserve">- Nghệ An (rất dày, có cả đường voi đi và đường thủy), Phiên Trấn, Phú Yên;</w:t>
      </w:r>
      <w:r>
        <w:t xml:space="preserve"> </w:t>
      </w:r>
      <w:r>
        <w:t xml:space="preserve">- Quảng Bình, Quảng Đức (Phú Xuân), Quảng Nam, Quảng Nghĩa, Quảng Trị;</w:t>
      </w:r>
      <w:r>
        <w:t xml:space="preserve"> </w:t>
      </w:r>
      <w:r>
        <w:t xml:space="preserve">- Sơn Nam, Sơn Tây, Thái Nguyên, Thanh Bình, Thanh Hóa;</w:t>
      </w:r>
      <w:r>
        <w:t xml:space="preserve"> </w:t>
      </w:r>
      <w:r>
        <w:t xml:space="preserve">- Trấn Biên, Trấn Định, Vĩnh Trấn.</w:t>
      </w:r>
    </w:p>
    <w:p>
      <w:pPr>
        <w:pStyle w:val="BodyText"/>
      </w:pPr>
      <w:r>
        <w:t xml:space="preserve">Mỗi tuyến thường được trình bày thành bảng: tên địa danh bằng quốc ngữ, chữ Hán hoặc Nôm, số tầm của từng chặng, và ghi chú về cầu, quán, đò, đồn, núi sông, đền miếu, kèm những giai thoại gắn với từng nơi.</w:t>
      </w:r>
    </w:p>
    <w:p>
      <w:pPr>
        <w:pStyle w:val="BodyText"/>
      </w:pPr>
      <w:r>
        <w:rPr>
          <w:bCs/>
          <w:b/>
        </w:rPr>
        <w:t xml:space="preserve">3. Các trục đường lớn từ kinh thành.</w:t>
      </w:r>
      <w:r>
        <w:t xml:space="preserve"> </w:t>
      </w:r>
      <w:r>
        <w:t xml:space="preserve">Gồm</w:t>
      </w:r>
      <w:r>
        <w:t xml:space="preserve"> </w:t>
      </w:r>
      <w:r>
        <w:t xml:space="preserve">“</w:t>
      </w:r>
      <w:r>
        <w:t xml:space="preserve">Thăng Long đi Bắc</w:t>
      </w:r>
      <w:r>
        <w:t xml:space="preserve">”</w:t>
      </w:r>
      <w:r>
        <w:t xml:space="preserve"> </w:t>
      </w:r>
      <w:r>
        <w:t xml:space="preserve">(qua Thái Nguyên, Lạng Sơn đến Nam Quan),</w:t>
      </w:r>
      <w:r>
        <w:t xml:space="preserve"> </w:t>
      </w:r>
      <w:r>
        <w:t xml:space="preserve">“</w:t>
      </w:r>
      <w:r>
        <w:t xml:space="preserve">Thăng Long đi Đông</w:t>
      </w:r>
      <w:r>
        <w:t xml:space="preserve">”</w:t>
      </w:r>
      <w:r>
        <w:t xml:space="preserve"> </w:t>
      </w:r>
      <w:r>
        <w:t xml:space="preserve">(qua Hải Dương, An Quảng đến Khâm Châu),</w:t>
      </w:r>
      <w:r>
        <w:t xml:space="preserve"> </w:t>
      </w:r>
      <w:r>
        <w:t xml:space="preserve">“</w:t>
      </w:r>
      <w:r>
        <w:t xml:space="preserve">Thăng Long đi Tây</w:t>
      </w:r>
      <w:r>
        <w:t xml:space="preserve">”</w:t>
      </w:r>
      <w:r>
        <w:t xml:space="preserve"> </w:t>
      </w:r>
      <w:r>
        <w:t xml:space="preserve">(lên Tuyên Quang, mỏ đồng Tụ Long), và</w:t>
      </w:r>
      <w:r>
        <w:t xml:space="preserve"> </w:t>
      </w:r>
      <w:r>
        <w:t xml:space="preserve">“</w:t>
      </w:r>
      <w:r>
        <w:t xml:space="preserve">Thăng Long đi Nam</w:t>
      </w:r>
      <w:r>
        <w:t xml:space="preserve">”</w:t>
      </w:r>
      <w:r>
        <w:t xml:space="preserve">. Trục đi Nam dài hơn năm mươi trang, chạy từ Sơn Nam qua Thanh Hóa, Nghệ An, Phú Xuân đến Gia Định, Vĩnh Thanh và cõi Cao Miên. Kèm theo có danh sách 34 hành cung trên đường Thăng Long - Phú Xuân, cùng hạn ngày đi trạm</w:t>
      </w:r>
      <w:r>
        <w:t xml:space="preserve"> </w:t>
      </w:r>
      <w:r>
        <w:t xml:space="preserve">“</w:t>
      </w:r>
      <w:r>
        <w:t xml:space="preserve">khẩn nhất, vừa, thường</w:t>
      </w:r>
      <w:r>
        <w:t xml:space="preserve">”</w:t>
      </w:r>
      <w:r>
        <w:t xml:space="preserve">.</w:t>
      </w:r>
    </w:p>
    <w:p>
      <w:pPr>
        <w:pStyle w:val="BodyText"/>
      </w:pPr>
      <w:r>
        <w:rPr>
          <w:bCs/>
          <w:b/>
        </w:rPr>
        <w:t xml:space="preserve">4. Đường ngoài cõi và các bài ca hành trình.</w:t>
      </w:r>
      <w:r>
        <w:t xml:space="preserve"> </w:t>
      </w:r>
      <w:r>
        <w:t xml:space="preserve">Có các tuyến Thăng Long - Chiêm Thành (đường bộ, đường thủy, đường biển, theo</w:t>
      </w:r>
      <w:r>
        <w:t xml:space="preserve"> </w:t>
      </w:r>
      <w:r>
        <w:rPr>
          <w:iCs/>
          <w:i/>
        </w:rPr>
        <w:t xml:space="preserve">Càn khôn nhất lãm</w:t>
      </w:r>
      <w:r>
        <w:t xml:space="preserve">) và đường từ Trung Quốc sang nước ta (Quảng Tây, Vân Nam, Quảng Đông). Ngoài ra, tác giả chép bằng quốc ngữ ba bài ca hành trình:</w:t>
      </w:r>
      <w:r>
        <w:t xml:space="preserve"> </w:t>
      </w:r>
      <w:r>
        <w:rPr>
          <w:iCs/>
          <w:i/>
        </w:rPr>
        <w:t xml:space="preserve">Tây chinh quốc ngữ thực lục</w:t>
      </w:r>
      <w:r>
        <w:t xml:space="preserve"> </w:t>
      </w:r>
      <w:r>
        <w:t xml:space="preserve">và</w:t>
      </w:r>
      <w:r>
        <w:t xml:space="preserve"> </w:t>
      </w:r>
      <w:r>
        <w:rPr>
          <w:iCs/>
          <w:i/>
        </w:rPr>
        <w:t xml:space="preserve">Tuyên Quang hành dịch</w:t>
      </w:r>
      <w:r>
        <w:t xml:space="preserve"> </w:t>
      </w:r>
      <w:r>
        <w:t xml:space="preserve">của Phan Kính, và</w:t>
      </w:r>
      <w:r>
        <w:t xml:space="preserve"> </w:t>
      </w:r>
      <w:r>
        <w:rPr>
          <w:iCs/>
          <w:i/>
        </w:rPr>
        <w:t xml:space="preserve">Hành trình ca đi Phiên An</w:t>
      </w:r>
      <w:r>
        <w:t xml:space="preserve">.</w:t>
      </w:r>
    </w:p>
    <w:bookmarkEnd w:id="25"/>
    <w:bookmarkStart w:id="26" w:name="nguồn-tư-liệu"/>
    <w:p>
      <w:pPr>
        <w:pStyle w:val="Heading1"/>
      </w:pPr>
      <w:r>
        <w:t xml:space="preserve">Nguồn tư liệu</w:t>
      </w:r>
    </w:p>
    <w:p>
      <w:pPr>
        <w:pStyle w:val="FirstParagraph"/>
      </w:pPr>
      <w:r>
        <w:t xml:space="preserve">Phần lớn các sách được dùng lúc ấy thuộc thư viện Trường Viễn Đông Bác Cổ, mang ký hiệu</w:t>
      </w:r>
      <w:r>
        <w:t xml:space="preserve"> </w:t>
      </w:r>
      <w:r>
        <w:t xml:space="preserve">“</w:t>
      </w:r>
      <w:r>
        <w:t xml:space="preserve">A.</w:t>
      </w:r>
      <w:r>
        <w:t xml:space="preserve">”</w:t>
      </w:r>
      <w:r>
        <w:t xml:space="preserve">, nay thuộc kho Viện Nghiên cứu Hán Nôm. Các nguồn chính:</w:t>
      </w:r>
    </w:p>
    <w:p>
      <w:pPr>
        <w:numPr>
          <w:ilvl w:val="0"/>
          <w:numId w:val="1002"/>
        </w:numPr>
        <w:pStyle w:val="Compact"/>
      </w:pPr>
      <w:r>
        <w:rPr>
          <w:iCs/>
          <w:i/>
        </w:rPr>
        <w:t xml:space="preserve">Thiên tải nhàn đàm</w:t>
      </w:r>
      <w:r>
        <w:t xml:space="preserve"> </w:t>
      </w:r>
      <w:r>
        <w:t xml:space="preserve">(千載閒談), A.584;</w:t>
      </w:r>
    </w:p>
    <w:p>
      <w:pPr>
        <w:numPr>
          <w:ilvl w:val="0"/>
          <w:numId w:val="1002"/>
        </w:numPr>
        <w:pStyle w:val="Compact"/>
      </w:pPr>
      <w:r>
        <w:rPr>
          <w:iCs/>
          <w:i/>
        </w:rPr>
        <w:t xml:space="preserve">Trình lục yếu lược</w:t>
      </w:r>
      <w:r>
        <w:t xml:space="preserve"> </w:t>
      </w:r>
      <w:r>
        <w:t xml:space="preserve">(程錄要略) và</w:t>
      </w:r>
      <w:r>
        <w:t xml:space="preserve"> </w:t>
      </w:r>
      <w:r>
        <w:rPr>
          <w:iCs/>
          <w:i/>
        </w:rPr>
        <w:t xml:space="preserve">Trình lục tập thành</w:t>
      </w:r>
      <w:r>
        <w:t xml:space="preserve">;</w:t>
      </w:r>
    </w:p>
    <w:p>
      <w:pPr>
        <w:numPr>
          <w:ilvl w:val="0"/>
          <w:numId w:val="1002"/>
        </w:numPr>
        <w:pStyle w:val="Compact"/>
      </w:pPr>
      <w:r>
        <w:rPr>
          <w:iCs/>
          <w:i/>
        </w:rPr>
        <w:t xml:space="preserve">Giao Châu dư địa chí</w:t>
      </w:r>
      <w:r>
        <w:t xml:space="preserve"> </w:t>
      </w:r>
      <w:r>
        <w:t xml:space="preserve">(交州輿地志);</w:t>
      </w:r>
    </w:p>
    <w:p>
      <w:pPr>
        <w:numPr>
          <w:ilvl w:val="0"/>
          <w:numId w:val="1002"/>
        </w:numPr>
        <w:pStyle w:val="Compact"/>
      </w:pPr>
      <w:r>
        <w:rPr>
          <w:iCs/>
          <w:i/>
        </w:rPr>
        <w:t xml:space="preserve">Nhất thống chí</w:t>
      </w:r>
      <w:r>
        <w:t xml:space="preserve">;</w:t>
      </w:r>
    </w:p>
    <w:p>
      <w:pPr>
        <w:numPr>
          <w:ilvl w:val="0"/>
          <w:numId w:val="1002"/>
        </w:numPr>
        <w:pStyle w:val="Compact"/>
      </w:pPr>
      <w:r>
        <w:rPr>
          <w:iCs/>
          <w:i/>
        </w:rPr>
        <w:t xml:space="preserve">Thiên Nam tứ chí lộ đồ</w:t>
      </w:r>
      <w:r>
        <w:t xml:space="preserve"> </w:t>
      </w:r>
      <w:r>
        <w:t xml:space="preserve">(天南四至路圖);</w:t>
      </w:r>
    </w:p>
    <w:p>
      <w:pPr>
        <w:numPr>
          <w:ilvl w:val="0"/>
          <w:numId w:val="1002"/>
        </w:numPr>
        <w:pStyle w:val="Compact"/>
      </w:pPr>
      <w:r>
        <w:rPr>
          <w:iCs/>
          <w:i/>
        </w:rPr>
        <w:t xml:space="preserve">Càn khôn nhất lãm</w:t>
      </w:r>
      <w:r>
        <w:t xml:space="preserve"> </w:t>
      </w:r>
      <w:r>
        <w:t xml:space="preserve">(乾坤一覽);</w:t>
      </w:r>
    </w:p>
    <w:p>
      <w:pPr>
        <w:numPr>
          <w:ilvl w:val="0"/>
          <w:numId w:val="1002"/>
        </w:numPr>
        <w:pStyle w:val="Compact"/>
      </w:pPr>
      <w:r>
        <w:rPr>
          <w:iCs/>
          <w:i/>
        </w:rPr>
        <w:t xml:space="preserve">Nam hành trình lục</w:t>
      </w:r>
      <w:r>
        <w:t xml:space="preserve"> </w:t>
      </w:r>
      <w:r>
        <w:t xml:space="preserve">(南行程錄);</w:t>
      </w:r>
    </w:p>
    <w:p>
      <w:pPr>
        <w:numPr>
          <w:ilvl w:val="0"/>
          <w:numId w:val="1002"/>
        </w:numPr>
        <w:pStyle w:val="Compact"/>
      </w:pPr>
      <w:r>
        <w:rPr>
          <w:iCs/>
          <w:i/>
        </w:rPr>
        <w:t xml:space="preserve">Lạng Sơn đoàn thành đồ</w:t>
      </w:r>
      <w:r>
        <w:t xml:space="preserve"> </w:t>
      </w:r>
      <w:r>
        <w:t xml:space="preserve">(諒山團城圖), A.1220;</w:t>
      </w:r>
    </w:p>
    <w:p>
      <w:pPr>
        <w:numPr>
          <w:ilvl w:val="0"/>
          <w:numId w:val="1002"/>
        </w:numPr>
        <w:pStyle w:val="Compact"/>
      </w:pPr>
      <w:r>
        <w:rPr>
          <w:iCs/>
          <w:i/>
        </w:rPr>
        <w:t xml:space="preserve">Nam hải du trình thống chí</w:t>
      </w:r>
      <w:r>
        <w:t xml:space="preserve">, A.1246;</w:t>
      </w:r>
    </w:p>
    <w:p>
      <w:pPr>
        <w:numPr>
          <w:ilvl w:val="0"/>
          <w:numId w:val="1002"/>
        </w:numPr>
        <w:pStyle w:val="Compact"/>
      </w:pPr>
      <w:r>
        <w:t xml:space="preserve">một số sách Trung Quốc, trong đó có</w:t>
      </w:r>
      <w:r>
        <w:t xml:space="preserve"> </w:t>
      </w:r>
      <w:r>
        <w:rPr>
          <w:iCs/>
          <w:i/>
        </w:rPr>
        <w:t xml:space="preserve">Việt kiệu thư</w:t>
      </w:r>
      <w:r>
        <w:t xml:space="preserve"> </w:t>
      </w:r>
      <w:r>
        <w:t xml:space="preserve">(越嶠書).</w:t>
      </w:r>
    </w:p>
    <w:p>
      <w:pPr>
        <w:pStyle w:val="FirstParagraph"/>
      </w:pPr>
      <w:r>
        <w:t xml:space="preserve">Đóng góp của Hoàng Xuân Hãn nằm ở bốn việc: chọn lọc các nguồn, sắp xếp lại theo tuyến đường, đối chiếu các dị bản (ông thường ghi</w:t>
      </w:r>
      <w:r>
        <w:t xml:space="preserve"> </w:t>
      </w:r>
      <w:r>
        <w:t xml:space="preserve">“</w:t>
      </w:r>
      <w:r>
        <w:t xml:space="preserve">TTNĐ và TLYL chép như nhau</w:t>
      </w:r>
      <w:r>
        <w:t xml:space="preserve">”</w:t>
      </w:r>
      <w:r>
        <w:t xml:space="preserve"> </w:t>
      </w:r>
      <w:r>
        <w:t xml:space="preserve">hoặc chỉ ra chỗ sai lệch), và thêm chú thích phê phán. Có chỗ ông ghi thẳng</w:t>
      </w:r>
      <w:r>
        <w:t xml:space="preserve"> </w:t>
      </w:r>
      <w:r>
        <w:t xml:space="preserve">“</w:t>
      </w:r>
      <w:r>
        <w:t xml:space="preserve">[lầm!]</w:t>
      </w:r>
      <w:r>
        <w:t xml:space="preserve">”</w:t>
      </w:r>
      <w:r>
        <w:t xml:space="preserve"> </w:t>
      </w:r>
      <w:r>
        <w:t xml:space="preserve">bên cạnh một câu sử chép nhầm.</w:t>
      </w:r>
    </w:p>
    <w:bookmarkEnd w:id="26"/>
    <w:bookmarkStart w:id="27" w:name="giá-trị-của-bản-thảo"/>
    <w:p>
      <w:pPr>
        <w:pStyle w:val="Heading1"/>
      </w:pPr>
      <w:r>
        <w:t xml:space="preserve">Giá trị của bản thảo</w:t>
      </w:r>
    </w:p>
    <w:p>
      <w:pPr>
        <w:pStyle w:val="FirstParagraph"/>
      </w:pPr>
      <w:r>
        <w:rPr>
          <w:bCs/>
          <w:b/>
        </w:rPr>
        <w:t xml:space="preserve">Về lịch sử giao thông và hành chính.</w:t>
      </w:r>
      <w:r>
        <w:t xml:space="preserve"> </w:t>
      </w:r>
      <w:r>
        <w:t xml:space="preserve">Đây là một kho số liệu cụ thể về mạng lưới đường bộ, đường trạm và đường thủy của Đại Việt cuối thế kỷ XVIII, đầu thế kỷ XIX: khoảng cách từng chặng tính bằng tầm (1 tầm khoảng 2,045 m), vị trí trạm, đồn, quán, cầu, bến đò, hạn ngày chạy trạm, và lương lệ cho quân đi đường.</w:t>
      </w:r>
    </w:p>
    <w:p>
      <w:pPr>
        <w:pStyle w:val="BodyText"/>
      </w:pPr>
      <w:r>
        <w:rPr>
          <w:bCs/>
          <w:b/>
        </w:rPr>
        <w:t xml:space="preserve">Về địa danh học.</w:t>
      </w:r>
      <w:r>
        <w:t xml:space="preserve"> </w:t>
      </w:r>
      <w:r>
        <w:t xml:space="preserve">Hàng nghìn địa danh được ghi bằng cả quốc ngữ, chữ Hán và chữ Nôm. Đặc biệt là các tên Nôm thuần Việt của chợ, quán, cầu, khe, truông, rạch, như 𢄂 (chợ), 求 (cầu), 滝 (sông), 我巴 (ngã ba). Nhiều tên trong số đó nay đã đổi hoặc mất. Phần địa danh Nam Bộ ở Trấn Biên, Trấn Định, Vĩnh Trấn ghi lại cách người xưa viết các tên như Cái, Vàm, Rạch bằng chữ Nôm.</w:t>
      </w:r>
    </w:p>
    <w:p>
      <w:pPr>
        <w:pStyle w:val="BodyText"/>
      </w:pPr>
      <w:r>
        <w:rPr>
          <w:bCs/>
          <w:b/>
        </w:rPr>
        <w:t xml:space="preserve">Về biên giới và lãnh thổ.</w:t>
      </w:r>
      <w:r>
        <w:t xml:space="preserve"> </w:t>
      </w:r>
      <w:r>
        <w:t xml:space="preserve">Bản thảo chép nhiều dấu tích về cương giới:</w:t>
      </w:r>
      <w:r>
        <w:t xml:space="preserve"> </w:t>
      </w:r>
      <w:r>
        <w:t xml:space="preserve">- Lời khắc đá ở núi Thạch Bi (Phú Yên) đời Lê Thánh Tông:</w:t>
      </w:r>
      <w:r>
        <w:t xml:space="preserve"> </w:t>
      </w:r>
      <w:r>
        <w:rPr>
          <w:iCs/>
          <w:i/>
        </w:rPr>
        <w:t xml:space="preserve">Chiêm Thành quá thử, binh bại quốc vong; An Nam quá thử, tướng tru binh chiết</w:t>
      </w:r>
      <w:r>
        <w:t xml:space="preserve"> </w:t>
      </w:r>
      <w:r>
        <w:t xml:space="preserve">(占城過此，兵敗國亡；安南過此，將誅兵折), nghĩa là quân Chiêm vượt qua đây thì thua, quân An Nam vượt qua đây thì tan.</w:t>
      </w:r>
      <w:r>
        <w:t xml:space="preserve"> </w:t>
      </w:r>
      <w:r>
        <w:t xml:space="preserve">- Bia phân giới Việt - Thanh ở sông Đỗ Chú, mỏ đồng Tụ Long, dựng năm Ung Chính thứ 6 (1728), có câu</w:t>
      </w:r>
      <w:r>
        <w:t xml:space="preserve"> </w:t>
      </w:r>
      <w:r>
        <w:rPr>
          <w:iCs/>
          <w:i/>
        </w:rPr>
        <w:t xml:space="preserve">An Nam giới thủ, dĩ hà vi để</w:t>
      </w:r>
      <w:r>
        <w:t xml:space="preserve"> </w:t>
      </w:r>
      <w:r>
        <w:t xml:space="preserve">(đầu cõi An Nam lấy sông làm giới hạn).</w:t>
      </w:r>
    </w:p>
    <w:p>
      <w:pPr>
        <w:pStyle w:val="BodyText"/>
      </w:pPr>
      <w:r>
        <w:rPr>
          <w:bCs/>
          <w:b/>
        </w:rPr>
        <w:t xml:space="preserve">Về văn hóa và tín ngưỡng.</w:t>
      </w:r>
      <w:r>
        <w:t xml:space="preserve"> </w:t>
      </w:r>
      <w:r>
        <w:t xml:space="preserve">Dọc các tuyến đường là những đền miếu và giai thoại:</w:t>
      </w:r>
      <w:r>
        <w:t xml:space="preserve"> </w:t>
      </w:r>
      <w:r>
        <w:t xml:space="preserve">- miếu thờ cá voi ở Bình Thuận, lập sau khi xương cá voi dạt vào bờ năm 1786;</w:t>
      </w:r>
      <w:r>
        <w:t xml:space="preserve"> </w:t>
      </w:r>
      <w:r>
        <w:t xml:space="preserve">- đền thờ cung nhân Nguyễn Bích Châu, người gieo mình xuống biển cứu thuyền vua Trần;</w:t>
      </w:r>
      <w:r>
        <w:t xml:space="preserve"> </w:t>
      </w:r>
      <w:r>
        <w:t xml:space="preserve">- đền Mao tướng quân ở Lạng Sơn, kèm giai thoại họa thơ vịnh bèo làm tướng Minh rút quân;</w:t>
      </w:r>
      <w:r>
        <w:t xml:space="preserve"> </w:t>
      </w:r>
      <w:r>
        <w:t xml:space="preserve">- chuyện Cao Biền với sông Tô Lịch và kênh Thiên Uy</w:t>
      </w:r>
      <w:r>
        <w:t xml:space="preserve"> </w:t>
      </w:r>
      <w:r>
        <w:t xml:space="preserve">“</w:t>
      </w:r>
      <w:r>
        <w:t xml:space="preserve">sét đánh mà thành</w:t>
      </w:r>
      <w:r>
        <w:t xml:space="preserve">”</w:t>
      </w:r>
      <w:r>
        <w:t xml:space="preserve">.</w:t>
      </w:r>
    </w:p>
    <w:p>
      <w:pPr>
        <w:pStyle w:val="BodyText"/>
      </w:pPr>
      <w:r>
        <w:rPr>
          <w:bCs/>
          <w:b/>
        </w:rPr>
        <w:t xml:space="preserve">Về văn chương.</w:t>
      </w:r>
      <w:r>
        <w:t xml:space="preserve"> </w:t>
      </w:r>
      <w:r>
        <w:t xml:space="preserve">Bản thảo lưu giữ nhiều bài thơ ngự chế chữ Hán đời Lê đề ở các cửa biển, núi Bài Thơ và thắng cảnh Thanh Hóa, cùng những bài ca hành trình quốc ngữ ít được biết đến.</w:t>
      </w:r>
    </w:p>
    <w:p>
      <w:pPr>
        <w:pStyle w:val="BodyText"/>
      </w:pPr>
      <w:r>
        <w:rPr>
          <w:bCs/>
          <w:b/>
        </w:rPr>
        <w:t xml:space="preserve">Về chính Hoàng Xuân Hãn.</w:t>
      </w:r>
      <w:r>
        <w:t xml:space="preserve"> </w:t>
      </w:r>
      <w:r>
        <w:t xml:space="preserve">Bản thảo cho thấy phương pháp làm việc của ông: kiên nhẫn chép tay, đối chiếu từng con số, và luôn tách bạch lời nguồn với lời bình của mình. Nó cũng cho thấy hoàn cảnh nghiên cứu khó khăn của một trí thức Việt Nam giữa thời chiến.</w:t>
      </w:r>
    </w:p>
    <w:bookmarkEnd w:id="27"/>
    <w:bookmarkStart w:id="28" w:name="về-bản-chép-quốc-ngữ-đi-kèm"/>
    <w:p>
      <w:pPr>
        <w:pStyle w:val="Heading1"/>
      </w:pPr>
      <w:r>
        <w:t xml:space="preserve">Về bản chép quốc ngữ đi kèm</w:t>
      </w:r>
    </w:p>
    <w:p>
      <w:pPr>
        <w:pStyle w:val="FirstParagraph"/>
      </w:pPr>
      <w:r>
        <w:t xml:space="preserve">Bản chép đi kèm (</w:t>
      </w:r>
      <w:r>
        <w:rPr>
          <w:iCs/>
          <w:i/>
        </w:rPr>
        <w:t xml:space="preserve">Duong_sa_nuoc_ta_xua_ARC_HOANG_109_v1.1</w:t>
      </w:r>
      <w:r>
        <w:t xml:space="preserve">) theo sát từng trang của bản số hóa 383 trang. Quy ước như sau:</w:t>
      </w:r>
    </w:p>
    <w:p>
      <w:pPr>
        <w:numPr>
          <w:ilvl w:val="0"/>
          <w:numId w:val="1003"/>
        </w:numPr>
        <w:pStyle w:val="Compact"/>
      </w:pPr>
      <w:r>
        <w:rPr>
          <w:bCs/>
          <w:b/>
        </w:rPr>
        <w:t xml:space="preserve">Chữ Hán:</w:t>
      </w:r>
      <w:r>
        <w:t xml:space="preserve"> </w:t>
      </w:r>
      <w:r>
        <w:t xml:space="preserve">ghi</w:t>
      </w:r>
      <w:r>
        <w:t xml:space="preserve"> </w:t>
      </w:r>
      <w:r>
        <w:rPr>
          <w:iCs/>
          <w:i/>
        </w:rPr>
        <w:t xml:space="preserve">phiên âm Hán Việt</w:t>
      </w:r>
      <w:r>
        <w:t xml:space="preserve"> </w:t>
      </w:r>
      <w:r>
        <w:t xml:space="preserve">(漢字). Câu và thơ chữ Hán có thêm bản dịch.</w:t>
      </w:r>
    </w:p>
    <w:p>
      <w:pPr>
        <w:numPr>
          <w:ilvl w:val="0"/>
          <w:numId w:val="1003"/>
        </w:numPr>
        <w:pStyle w:val="Compact"/>
      </w:pPr>
      <w:r>
        <w:rPr>
          <w:bCs/>
          <w:b/>
        </w:rPr>
        <w:t xml:space="preserve">Chữ Nôm:</w:t>
      </w:r>
      <w:r>
        <w:t xml:space="preserve"> </w:t>
      </w:r>
      <w:r>
        <w:t xml:space="preserve">ghi bằng quốc ngữ, chữ Nôm để trong ngoặc. Chữ không có trong bộ mã Unicode thì ghi theo cấu tạo, ví dụ [石+多].</w:t>
      </w:r>
    </w:p>
    <w:p>
      <w:pPr>
        <w:numPr>
          <w:ilvl w:val="0"/>
          <w:numId w:val="1003"/>
        </w:numPr>
        <w:pStyle w:val="Compact"/>
      </w:pPr>
      <w:r>
        <w:rPr>
          <w:bCs/>
          <w:b/>
        </w:rPr>
        <w:t xml:space="preserve">Ghi chú của người chép:</w:t>
      </w:r>
      <w:r>
        <w:t xml:space="preserve"> </w:t>
      </w:r>
      <w:r>
        <w:t xml:space="preserve">đặt trong [ND: …].</w:t>
      </w:r>
    </w:p>
    <w:p>
      <w:pPr>
        <w:numPr>
          <w:ilvl w:val="0"/>
          <w:numId w:val="1003"/>
        </w:numPr>
        <w:pStyle w:val="Compact"/>
      </w:pPr>
      <w:r>
        <w:rPr>
          <w:bCs/>
          <w:b/>
        </w:rPr>
        <w:t xml:space="preserve">Hình vẽ:</w:t>
      </w:r>
      <w:r>
        <w:t xml:space="preserve"> </w:t>
      </w:r>
      <w:r>
        <w:t xml:space="preserve">được cắt từ ảnh gốc và đặt đúng vị trí.</w:t>
      </w:r>
    </w:p>
    <w:p>
      <w:pPr>
        <w:pStyle w:val="FirstParagraph"/>
      </w:pPr>
      <w:r>
        <w:t xml:space="preserve">Chữ quốc ngữ và các con số đọc khá chắc. Riêng chữ Hán và chữ Nôm viết nhỏ trong các bảng còn nhiều chỗ đánh [?], cần đối chiếu thêm với ảnh gốc trước khi trích dẫn chính thức.</w:t>
      </w:r>
    </w:p>
    <w:bookmarkEnd w:id="28"/>
    <w:bookmarkStart w:id="29" w:name="thông-tin-thư-mục"/>
    <w:p>
      <w:pPr>
        <w:pStyle w:val="Heading1"/>
      </w:pPr>
      <w:r>
        <w:t xml:space="preserve">Thông tin thư mục</w:t>
      </w:r>
    </w:p>
    <w:p>
      <w:pPr>
        <w:numPr>
          <w:ilvl w:val="0"/>
          <w:numId w:val="1004"/>
        </w:numPr>
        <w:pStyle w:val="Compact"/>
      </w:pPr>
      <w:r>
        <w:rPr>
          <w:bCs/>
          <w:b/>
        </w:rPr>
        <w:t xml:space="preserve">Tác giả:</w:t>
      </w:r>
      <w:r>
        <w:t xml:space="preserve"> </w:t>
      </w:r>
      <w:r>
        <w:t xml:space="preserve">Hoàng Xuân Hãn.</w:t>
      </w:r>
    </w:p>
    <w:p>
      <w:pPr>
        <w:numPr>
          <w:ilvl w:val="0"/>
          <w:numId w:val="1004"/>
        </w:numPr>
        <w:pStyle w:val="Compact"/>
      </w:pPr>
      <w:r>
        <w:rPr>
          <w:bCs/>
          <w:b/>
        </w:rPr>
        <w:t xml:space="preserve">Nhan đề:</w:t>
      </w:r>
      <w:r>
        <w:t xml:space="preserve"> </w:t>
      </w:r>
      <w:r>
        <w:rPr>
          <w:iCs/>
          <w:i/>
        </w:rPr>
        <w:t xml:space="preserve">Đường sá nước ta xưa</w:t>
      </w:r>
      <w:r>
        <w:t xml:space="preserve">. Thư viện ghi là</w:t>
      </w:r>
      <w:r>
        <w:t xml:space="preserve"> </w:t>
      </w:r>
      <w:r>
        <w:rPr>
          <w:iCs/>
          <w:i/>
        </w:rPr>
        <w:t xml:space="preserve">Đường xá nước ta xưa</w:t>
      </w:r>
      <w:r>
        <w:t xml:space="preserve">.</w:t>
      </w:r>
    </w:p>
    <w:p>
      <w:pPr>
        <w:numPr>
          <w:ilvl w:val="0"/>
          <w:numId w:val="1004"/>
        </w:numPr>
        <w:pStyle w:val="Compact"/>
      </w:pPr>
      <w:r>
        <w:rPr>
          <w:bCs/>
          <w:b/>
        </w:rPr>
        <w:t xml:space="preserve">Hình thức:</w:t>
      </w:r>
      <w:r>
        <w:t xml:space="preserve"> </w:t>
      </w:r>
      <w:r>
        <w:t xml:space="preserve">bản thảo viết tay, khổ 216 x 145 mm, quốc ngữ xen chữ Hán và chữ Nôm.</w:t>
      </w:r>
    </w:p>
    <w:p>
      <w:pPr>
        <w:numPr>
          <w:ilvl w:val="0"/>
          <w:numId w:val="1004"/>
        </w:numPr>
        <w:pStyle w:val="Compact"/>
      </w:pPr>
      <w:r>
        <w:rPr>
          <w:bCs/>
          <w:b/>
        </w:rPr>
        <w:t xml:space="preserve">Thời gian:</w:t>
      </w:r>
      <w:r>
        <w:t xml:space="preserve"> </w:t>
      </w:r>
      <w:r>
        <w:t xml:space="preserve">bắt đầu viết ở Hà Nội sau tháng 8/1945; tác giả đóng lại và ghi thêm lời ở Paris ngày 3/3/1973.</w:t>
      </w:r>
    </w:p>
    <w:p>
      <w:pPr>
        <w:numPr>
          <w:ilvl w:val="0"/>
          <w:numId w:val="1004"/>
        </w:numPr>
        <w:pStyle w:val="Compact"/>
      </w:pPr>
      <w:r>
        <w:rPr>
          <w:bCs/>
          <w:b/>
        </w:rPr>
        <w:t xml:space="preserve">Nơi lưu giữ:</w:t>
      </w:r>
      <w:r>
        <w:t xml:space="preserve"> </w:t>
      </w:r>
      <w:r>
        <w:t xml:space="preserve">Bibliothèque universitaire des langues et civilisations (BULAC), Paris. Số hiệu ARC.HOANG.109.</w:t>
      </w:r>
    </w:p>
    <w:p>
      <w:pPr>
        <w:numPr>
          <w:ilvl w:val="0"/>
          <w:numId w:val="1004"/>
        </w:numPr>
        <w:pStyle w:val="Compact"/>
      </w:pPr>
      <w:r>
        <w:rPr>
          <w:bCs/>
          <w:b/>
        </w:rPr>
        <w:t xml:space="preserve">Bản scan gốc:</w:t>
      </w:r>
    </w:p>
    <w:p>
      <w:pPr>
        <w:numPr>
          <w:ilvl w:val="1"/>
          <w:numId w:val="1005"/>
        </w:numPr>
        <w:pStyle w:val="Compact"/>
      </w:pPr>
      <w:r>
        <w:t xml:space="preserve">Thư viện số BULAC (BiNA):</w:t>
      </w:r>
      <w:r>
        <w:t xml:space="preserve"> </w:t>
      </w:r>
      <w:hyperlink r:id="rId20">
        <w:r>
          <w:rPr>
            <w:rStyle w:val="Hyperlink"/>
          </w:rPr>
          <w:t xml:space="preserve">https://bina.bulac.fr/s/bina/ark:/73193/bnkb7b</w:t>
        </w:r>
      </w:hyperlink>
    </w:p>
    <w:p>
      <w:pPr>
        <w:numPr>
          <w:ilvl w:val="1"/>
          <w:numId w:val="1005"/>
        </w:numPr>
        <w:pStyle w:val="Compact"/>
      </w:pPr>
      <w:r>
        <w:t xml:space="preserve">Internet Archive:</w:t>
      </w:r>
      <w:r>
        <w:t xml:space="preserve"> </w:t>
      </w:r>
      <w:hyperlink r:id="rId21">
        <w:r>
          <w:rPr>
            <w:rStyle w:val="Hyperlink"/>
          </w:rPr>
          <w:t xml:space="preserve">https://archive.org/details/ARC.HOANG.109</w:t>
        </w:r>
      </w:hyperlink>
      <w:r>
        <w:t xml:space="preserve">, giấy phép CC BY-NC 4.0 (được dùng lại nếu ghi nguồn, không dùng vào mục đích thương mại).</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dc:title>
  <dc:creator/>
  <cp:keywords/>
  <dcterms:created xsi:type="dcterms:W3CDTF">2026-10-16T16:04:46Z</dcterms:created>
  <dcterms:modified xsi:type="dcterms:W3CDTF">2026-10-16T16:04:46Z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Bài đề dẫn giới thiệu bản thảo của Hoàng Xuân Hãn (BULAC, ARC.HOANG.109)</vt:lpwstr>
  </property>
</Properties>
</file>