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do UBND xã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của UBND xã;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(oà, uỷ, uý), căn lề, giãn dòng theo đúng Hướng dẫn số 05-HD/VPTW ngày 12/01/2026 của Văn phòng Trung ương Đảng. Lưu ý cơ quan soạn thảo bổ sung số hiệu và ngày ban hành chính thức của Tờ trình kèm theo.</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Các mục tiêu, chỉ tiêu kinh tế - xã hội chủ yếu trong dự thảo (tăng trưởng 11-12%/năm, thu ngân sách tăng 12%/năm, đến năm 2030 không còn hộ nghèo...) hoàn toàn thống nhất và bám sát Nghị quyết Đại hội đại biểu Đảng bộ xã Công Hải lần thứ I, nhiệm kỳ 2025 - 2030. Tuy nhiên, qua đối soát nhận thấy một số nội dung nghiệp vụ cần lưu ý, hoàn thiện sau đây:</w:t>
      </w:r>
    </w:p>
    <w:p>
      <w:pPr>
        <w:spacing w:before="120" w:after="120" w:lineRule="exact" w:line="360"/>
        <w:ind w:left="0" w:right="0" w:firstLine="567"/>
        <w:jc w:val="both"/>
      </w:pPr>
      <w:r>
        <w:rPr>
          <w:rFonts w:ascii="Times New Roman" w:hAnsi="Times New Roman"/>
          <w:b w:val="0"/>
          <w:i w:val="0"/>
          <w:color w:val="000000"/>
          <w:sz w:val="28"/>
        </w:rPr>
        <w:t>- Về Phần IV. Tổ chức thực hiện (các mục 1, 2, 5): Dự thảo là Kế hoạch nhưng nội dung lại nhiều lần dùng cụm từ "Chương trình hành động này" do sao chép từ văn bản cấp trên mà chưa chuyển đổi thể loại. (Đề nghị hoàn thiện: UBND xã rà soát, chỉnh sửa đồng bộ cụm từ "Chương trình hành động này" thành "Kế hoạch này".).</w:t>
      </w:r>
    </w:p>
    <w:p>
      <w:pPr>
        <w:spacing w:before="120" w:after="120" w:lineRule="exact" w:line="360"/>
        <w:ind w:left="0" w:right="0" w:firstLine="567"/>
        <w:jc w:val="both"/>
      </w:pPr>
      <w:r>
        <w:rPr>
          <w:rFonts w:ascii="Times New Roman" w:hAnsi="Times New Roman"/>
          <w:b w:val="0"/>
          <w:i w:val="0"/>
          <w:color w:val="000000"/>
          <w:sz w:val="28"/>
        </w:rPr>
        <w:t>- Về Mục IV.4: Nhiệm vụ của Uỷ ban Kiểm tra Đảng uỷ là giám sát chuyên đề chứ không trực tiếp làm nhiệm vụ "triển khai". (Đề nghị hoàn thiện: Chỉnh sửa lại thành: Giao Uỷ ban Kiểm tra Đảng uỷ tham mưu kế hoạch kiểm tra, giám sát chuyên đề việc thực hiện Kế hoạch.).</w:t>
      </w:r>
    </w:p>
    <w:p>
      <w:pPr>
        <w:spacing w:before="120" w:after="120" w:lineRule="exact" w:line="360"/>
        <w:ind w:left="0" w:right="0" w:firstLine="567"/>
        <w:jc w:val="both"/>
      </w:pPr>
      <w:r>
        <w:rPr>
          <w:rFonts w:ascii="Times New Roman" w:hAnsi="Times New Roman"/>
          <w:b w:val="0"/>
          <w:i w:val="0"/>
          <w:color w:val="000000"/>
          <w:sz w:val="28"/>
        </w:rPr>
        <w:t>- Về Mục II.2: Chỉ tiêu 100% hài lòng mang tính tuyệt đối hoá, khó bảo đảm tính khả thi trong thực tiễn đo lường. (Đề nghị hoàn thiện: Đề xuất điều chỉnh thành "đạt từ 95% trở lên" cho phù hợp thực tiễn.).</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tiếp thu, rà soát và chỉnh sửa các nội dung nghiệp vụ đã nêu tại mục 2 phần II trước khi ban hành chính thức.</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Sau khi UBND xã hoàn thiện các nội dung trên, kính trình Thường trực Đảng uỷ xem xét cho chủ trương gửi phiếu lấy ý kiến Ban Thường vụ Đảng uỷ theo Quy chế làm việc.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