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Văn phòng Đảng uỷ đã rà soát, chỉnh sửa trực tiếp trên dự thảo văn bản các lỗi chính tả, chỉnh sửa thể thức văn bản theo đúng Hướng dẫn số 05-HD/VPTW ngày 12/01/2026 của Văn phòng Trung ương Đảng.</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số 817-CV/ĐU; dự thảo Kế hoạch.</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Về cơ bản dự thảo đã bám sát yêu cầu chỉ đạo của cấp uỷ. Tuy nhiên, qua đối soát nhận thấy một số vấn đề cần lưu ý: Trùng ngày nghỉ trong mục II. Mục tiêu.</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làm rõ và điều chỉnh.</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Kính đề nghị Thường trực Đảng uỷ xem xét cho ý kiến chỉ đạo.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