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20"/>
              <w:jc w:val="center"/>
            </w:pPr>
            <w:r>
              <w:rPr>
                <w:rFonts w:ascii="Times New Roman" w:hAnsi="Times New Roman"/>
                <w:sz w:val="28"/>
              </w:rPr>
              <w:t>ĐẢNG UỶ XÃ CÔNG HẢI</w:t>
            </w:r>
          </w:p>
          <w:p>
            <w:pPr>
              <w:spacing w:lineRule="auto" w:line="252" w:before="0" w:after="20"/>
              <w:jc w:val="center"/>
            </w:pPr>
            <w:r>
              <w:rPr>
                <w:rFonts w:ascii="Times New Roman" w:hAnsi="Times New Roman"/>
                <w:b/>
                <w:sz w:val="28"/>
              </w:rPr>
              <w:t>VĂN PHÒNG</w:t>
            </w:r>
          </w:p>
          <w:p>
            <w:pPr>
              <w:spacing w:lineRule="auto" w:line="240" w:before="0" w:after="40"/>
              <w:jc w:val="center"/>
            </w:pPr>
            <w:r>
              <w:rPr>
                <w:rFonts w:ascii="Times New Roman" w:hAnsi="Times New Roman"/>
                <w:b/>
                <w:sz w:val="28"/>
              </w:rPr>
              <w:t>*</w:t>
            </w:r>
          </w:p>
          <w:p>
            <w:pPr>
              <w:spacing w:lineRule="auto" w:line="252" w:before="0" w:after="60"/>
              <w:jc w:val="center"/>
            </w:pPr>
            <w:r>
              <w:rPr>
                <w:rFonts w:ascii="Times New Roman" w:hAnsi="Times New Roman"/>
                <w:sz w:val="28"/>
              </w:rPr>
              <w:t>Số      -BC/VPĐU</w:t>
            </w:r>
          </w:p>
        </w:tc>
        <w:tc>
          <w:tcPr>
            <w:tcW w:type="dxa" w:w="5102"/>
            <w:tcMar>
              <w:top w:w="0" w:type="dxa"/>
              <w:bottom w:w="0" w:type="dxa"/>
              <w:left w:w="70" w:type="dxa"/>
              <w:right w:w="0" w:type="dxa"/>
            </w:tcMar>
          </w:tcPr>
          <w:p>
            <w:pPr>
              <w:spacing w:lineRule="auto" w:line="252" w:before="0" w:after="20"/>
              <w:jc w:val="right"/>
            </w:pPr>
            <w:r>
              <w:rPr>
                <w:rFonts w:ascii="Times New Roman" w:hAnsi="Times New Roman"/>
                <w:b/>
                <w:sz w:val="28"/>
              </w:rPr>
              <w:t>ĐẢNG CỘNG SẢN VIỆT NAM</w:t>
            </w:r>
          </w:p>
          <w:p>
            <w:pPr>
              <w:spacing w:lineRule="auto" w:line="240" w:before="0" w:after="80"/>
              <w:jc w:val="right"/>
            </w:pPr>
            <w:r>
              <w:pict>
                <v:line from="0,0" to="192pt,0" strokecolor="#000000" strokeweight="0.75pt"/>
              </w:pict>
            </w:r>
          </w:p>
          <w:p>
            <w:pPr>
              <w:spacing w:lineRule="auto" w:line="252" w:before="0" w:after="0"/>
              <w:jc w:val="right"/>
            </w:pPr>
            <w:r>
              <w:rPr>
                <w:rFonts w:ascii="Times New Roman" w:hAnsi="Times New Roman"/>
                <w:i/>
                <w:sz w:val="28"/>
              </w:rPr>
              <w:t>Công Hải, ngày   tháng   năm 2026</w:t>
            </w:r>
          </w:p>
        </w:tc>
      </w:tr>
    </w:tbl>
    <w:p>
      <w:pPr>
        <w:spacing w:before="0" w:after="120" w:lineRule="auto" w:line="240"/>
      </w:pPr>
    </w:p>
    <w:p>
      <w:pPr>
        <w:spacing w:before="120" w:after="80" w:lineRule="auto" w:line="276"/>
        <w:jc w:val="center"/>
      </w:pPr>
      <w:r>
        <w:rPr>
          <w:rFonts w:ascii="Times New Roman" w:hAnsi="Times New Roman"/>
          <w:b/>
          <w:sz w:val="30"/>
        </w:rPr>
        <w:t>BÁO CÁO</w:t>
      </w:r>
    </w:p>
    <w:p>
      <w:pPr>
        <w:spacing w:before="0" w:after="200" w:lineRule="auto" w:line="276"/>
        <w:jc w:val="center"/>
      </w:pPr>
      <w:r>
        <w:rPr>
          <w:rFonts w:ascii="Times New Roman" w:hAnsi="Times New Roman"/>
          <w:b/>
          <w:sz w:val="28"/>
        </w:rPr>
        <w:t>kết quả thẩm định dự thảo Kế hoạch thực hiện Nghị quyết số 19-NQ/TW của Ban Chấp hành Trung ương Đảng khóa XIV và Chương trình hành động số 33-CTr/TW, ngày 28/7/2026 của Bộ Chính trị về đổi mới mô hình phát triển Việt Nam trên địa bàn xã Công Hải do UBND xã trình</w:t>
      </w:r>
    </w:p>
    <w:p>
      <w:pPr>
        <w:spacing w:before="120" w:after="120" w:lineRule="exact" w:line="360"/>
        <w:ind w:left="0" w:right="0" w:firstLine="567"/>
        <w:jc w:val="both"/>
      </w:pPr>
      <w:r>
        <w:rPr>
          <w:rFonts w:ascii="Times New Roman" w:hAnsi="Times New Roman"/>
          <w:b/>
          <w:i w:val="0"/>
          <w:color w:val="000000"/>
          <w:sz w:val="28"/>
        </w:rPr>
        <w:t>I. TỔNG QUAN HỒ SƠ THẨM ĐỊNH</w:t>
      </w:r>
    </w:p>
    <w:p>
      <w:pPr>
        <w:spacing w:before="120" w:after="120" w:lineRule="exact" w:line="360"/>
        <w:ind w:left="0" w:right="0" w:firstLine="567"/>
        <w:jc w:val="both"/>
      </w:pPr>
      <w:r>
        <w:rPr>
          <w:rFonts w:ascii="Times New Roman" w:hAnsi="Times New Roman"/>
          <w:b w:val="0"/>
          <w:i w:val="0"/>
          <w:color w:val="000000"/>
          <w:sz w:val="28"/>
        </w:rPr>
        <w:t>- Cơ quan trình: UBND xã.</w:t>
      </w:r>
    </w:p>
    <w:p>
      <w:pPr>
        <w:spacing w:before="120" w:after="120" w:lineRule="exact" w:line="360"/>
        <w:ind w:left="0" w:right="0" w:firstLine="567"/>
        <w:jc w:val="both"/>
      </w:pPr>
      <w:r>
        <w:rPr>
          <w:rFonts w:ascii="Times New Roman" w:hAnsi="Times New Roman"/>
          <w:b w:val="0"/>
          <w:i w:val="0"/>
          <w:color w:val="000000"/>
          <w:sz w:val="28"/>
        </w:rPr>
        <w:t>- Tên văn bản dự thảo: Kế hoạch thực hiện Nghị quyết số 19-NQ/TW của Ban Chấp hành Trung ương Đảng khóa XIV và Chương trình hành động số 33-CTr/TW, ngày 28/7/2026 của Bộ Chính trị về đổi mới mô hình phát triển Việt Nam trên địa bàn xã Công Hải.</w:t>
      </w:r>
    </w:p>
    <w:p>
      <w:pPr>
        <w:spacing w:before="120" w:after="120" w:lineRule="exact" w:line="360"/>
        <w:ind w:left="0" w:right="0" w:firstLine="567"/>
        <w:jc w:val="both"/>
      </w:pPr>
      <w:r>
        <w:rPr>
          <w:rFonts w:ascii="Times New Roman" w:hAnsi="Times New Roman"/>
          <w:b w:val="0"/>
          <w:i w:val="0"/>
          <w:color w:val="000000"/>
          <w:sz w:val="28"/>
        </w:rPr>
        <w:t>- Thành phần hồ sơ gửi kèm: Tờ trình số 817-CV/ĐU ngày 17/9/2026; dự thảo Kế hoạch.</w:t>
      </w:r>
    </w:p>
    <w:p>
      <w:pPr>
        <w:spacing w:before="120" w:after="120" w:lineRule="exact" w:line="360"/>
        <w:ind w:left="0" w:right="0" w:firstLine="567"/>
        <w:jc w:val="both"/>
      </w:pPr>
      <w:r>
        <w:rPr>
          <w:rFonts w:ascii="Times New Roman" w:hAnsi="Times New Roman"/>
          <w:b/>
          <w:i w:val="0"/>
          <w:color w:val="000000"/>
          <w:sz w:val="28"/>
        </w:rPr>
        <w:t>II. KẾT QUẢ THẨM ĐỊNH</w:t>
      </w:r>
    </w:p>
    <w:p>
      <w:pPr>
        <w:spacing w:before="120" w:after="120" w:lineRule="exact" w:line="360"/>
        <w:ind w:left="0" w:right="0" w:firstLine="567"/>
        <w:jc w:val="both"/>
      </w:pPr>
      <w:r>
        <w:rPr>
          <w:rFonts w:ascii="Times New Roman" w:hAnsi="Times New Roman"/>
          <w:b/>
          <w:i w:val="0"/>
          <w:color w:val="000000"/>
          <w:sz w:val="28"/>
        </w:rPr>
        <w:t xml:space="preserve">1. Thể thức văn bản: </w:t>
      </w:r>
      <w:r>
        <w:rPr>
          <w:rFonts w:ascii="Times New Roman" w:hAnsi="Times New Roman"/>
          <w:b w:val="0"/>
          <w:i w:val="0"/>
          <w:color w:val="000000"/>
          <w:sz w:val="28"/>
        </w:rPr>
        <w:t>Văn phòng Đảng uỷ đã rà soát, chỉnh sửa trực tiếp trên dự thảo văn bản các lỗi chính tả, chỉnh sửa thể thức văn bản theo đúng Hướng dẫn số 05-HD/VPTW ngày 12/01/2026 của Văn phòng Trung ương Đảng.</w:t>
      </w:r>
    </w:p>
    <w:p>
      <w:pPr>
        <w:spacing w:before="120" w:after="120" w:lineRule="exact" w:line="360"/>
        <w:ind w:left="0" w:right="0" w:firstLine="567"/>
        <w:jc w:val="both"/>
      </w:pPr>
      <w:r>
        <w:rPr>
          <w:rFonts w:ascii="Times New Roman" w:hAnsi="Times New Roman"/>
          <w:b/>
          <w:i w:val="0"/>
          <w:color w:val="000000"/>
          <w:sz w:val="28"/>
        </w:rPr>
        <w:t xml:space="preserve">2. Nội dung và số liệu chuyên môn: </w:t>
      </w:r>
      <w:r>
        <w:rPr>
          <w:rFonts w:ascii="Times New Roman" w:hAnsi="Times New Roman"/>
          <w:b w:val="0"/>
          <w:i w:val="0"/>
          <w:color w:val="000000"/>
          <w:sz w:val="28"/>
        </w:rPr>
        <w:t>Về cơ bản dự thảo đã bám sát yêu cầu chỉ đạo của cấp uỷ và các định hướng phát triển của Đảng bộ xã. Tuy nhiên, qua đối soát nhận thấy một số vấn đề cần lưu ý và làm rõ sau đây:</w:t>
      </w:r>
    </w:p>
    <w:p>
      <w:pPr>
        <w:spacing w:before="120" w:after="120" w:lineRule="exact" w:line="360"/>
        <w:ind w:left="0" w:right="0" w:firstLine="567"/>
        <w:jc w:val="both"/>
      </w:pPr>
      <w:r>
        <w:rPr>
          <w:rFonts w:ascii="Times New Roman" w:hAnsi="Times New Roman"/>
          <w:b w:val="0"/>
          <w:i w:val="0"/>
          <w:color w:val="000000"/>
          <w:sz w:val="28"/>
        </w:rPr>
        <w:t>- Về II. Mục tiêu: Trùng ngày nghỉ (Đề nghị làm rõ: Cần kiểm tra lại số liệu về tỷ lệ giải ngân vốn đầu tư công hàng năm, xem xét có trùng ngày nghỉ hay không.).</w:t>
      </w:r>
    </w:p>
    <w:p>
      <w:pPr>
        <w:spacing w:before="120" w:after="120" w:lineRule="exact" w:line="360"/>
        <w:ind w:left="0" w:right="0" w:firstLine="567"/>
        <w:jc w:val="both"/>
      </w:pPr>
      <w:r>
        <w:rPr>
          <w:rFonts w:ascii="Times New Roman" w:hAnsi="Times New Roman"/>
          <w:b w:val="0"/>
          <w:i w:val="0"/>
          <w:color w:val="000000"/>
          <w:sz w:val="28"/>
        </w:rPr>
        <w:t>- Về III. Nhiệm vụ, giải pháp chủ yếu: Viện dẫn cấp huyện cũ (Đề nghị làm rõ: Việc viện dẫn cấp huyện cũ có thể gây hiểu lầm, đề nghị xóa bỏ và thay bằng 'tỉnh' hoặc 'địa phương' phù hợp.).</w:t>
      </w:r>
    </w:p>
    <w:p>
      <w:pPr>
        <w:spacing w:before="120" w:after="120" w:lineRule="exact" w:line="360"/>
        <w:ind w:left="0" w:right="0" w:firstLine="567"/>
        <w:jc w:val="both"/>
      </w:pPr>
      <w:r>
        <w:rPr>
          <w:rFonts w:ascii="Times New Roman" w:hAnsi="Times New Roman"/>
          <w:b w:val="0"/>
          <w:i w:val="0"/>
          <w:color w:val="000000"/>
          <w:sz w:val="28"/>
        </w:rPr>
        <w:t>- Về nội dung/số liệu thứ nhất: Trùng ngày nghỉ trong mục II. Mục tiêu, mục tiêu tỷ lệ giải ngân vốn đầu tư công hàng năm đạt 100% kế hoạch vốn giao.</w:t>
      </w:r>
    </w:p>
    <w:p>
      <w:pPr>
        <w:spacing w:before="120" w:after="120" w:lineRule="exact" w:line="360"/>
        <w:ind w:left="0" w:right="0" w:firstLine="567"/>
        <w:jc w:val="both"/>
      </w:pPr>
      <w:r>
        <w:rPr>
          <w:rFonts w:ascii="Times New Roman" w:hAnsi="Times New Roman"/>
          <w:b w:val="0"/>
          <w:i w:val="0"/>
          <w:color w:val="000000"/>
          <w:sz w:val="28"/>
        </w:rPr>
        <w:t>- Về nội dung/số liệu thứ hai: Viên dẫn cấp huyện cũ trong mục III. Nhiệm vụ, giải pháp chủ yếu, đề nghị xóa bỏ và thay bằng 'tỉnh' hoặc 'địa phương' phù hợp.</w:t>
      </w:r>
    </w:p>
    <w:p>
      <w:pPr>
        <w:spacing w:before="120" w:after="120" w:lineRule="exact" w:line="360"/>
        <w:ind w:left="0" w:right="0" w:firstLine="567"/>
        <w:jc w:val="both"/>
      </w:pPr>
      <w:r>
        <w:rPr>
          <w:rFonts w:ascii="Times New Roman" w:hAnsi="Times New Roman"/>
          <w:b/>
          <w:i w:val="0"/>
          <w:color w:val="000000"/>
          <w:sz w:val="28"/>
        </w:rPr>
        <w:t>III. ĐỀ XUẤT, KIẾN NGHỊ</w:t>
      </w:r>
    </w:p>
    <w:p>
      <w:pPr>
        <w:spacing w:before="120" w:after="120" w:lineRule="exact" w:line="360"/>
        <w:ind w:left="0" w:right="0" w:firstLine="567"/>
        <w:jc w:val="both"/>
      </w:pPr>
      <w:r>
        <w:rPr>
          <w:rFonts w:ascii="Times New Roman" w:hAnsi="Times New Roman"/>
          <w:b w:val="0"/>
          <w:i w:val="0"/>
          <w:color w:val="000000"/>
          <w:sz w:val="28"/>
        </w:rPr>
        <w:t>Trên cơ sở kết quả thẩm định, Văn phòng Đảng uỷ kính trình Thường trực Đảng uỷ:</w:t>
      </w:r>
    </w:p>
    <w:p>
      <w:pPr>
        <w:spacing w:before="120" w:after="120" w:lineRule="exact" w:line="360"/>
        <w:ind w:left="0" w:right="0" w:firstLine="567"/>
        <w:jc w:val="both"/>
      </w:pPr>
      <w:r>
        <w:rPr>
          <w:rFonts w:ascii="Times New Roman" w:hAnsi="Times New Roman"/>
          <w:b/>
          <w:i w:val="0"/>
          <w:color w:val="000000"/>
          <w:sz w:val="28"/>
        </w:rPr>
        <w:t xml:space="preserve">1. Đối với thể thức: </w:t>
      </w:r>
      <w:r>
        <w:rPr>
          <w:rFonts w:ascii="Times New Roman" w:hAnsi="Times New Roman"/>
          <w:b w:val="0"/>
          <w:i w:val="0"/>
          <w:color w:val="000000"/>
          <w:sz w:val="28"/>
        </w:rPr>
        <w:t>Dự thảo văn bản đã được Văn phòng Đảng uỷ trực tiếp chuẩn hóa theo đúng Hướng dẫn số 05-HD/VPTW.</w:t>
      </w:r>
    </w:p>
    <w:p>
      <w:pPr>
        <w:spacing w:before="120" w:after="120" w:lineRule="exact" w:line="360"/>
        <w:ind w:left="0" w:right="0" w:firstLine="567"/>
        <w:jc w:val="both"/>
      </w:pPr>
      <w:r>
        <w:rPr>
          <w:rFonts w:ascii="Times New Roman" w:hAnsi="Times New Roman"/>
          <w:b/>
          <w:i w:val="0"/>
          <w:color w:val="000000"/>
          <w:sz w:val="28"/>
        </w:rPr>
        <w:t xml:space="preserve">2. Đối với nội dung và số liệu chuyên môn: </w:t>
      </w:r>
      <w:r>
        <w:rPr>
          <w:rFonts w:ascii="Times New Roman" w:hAnsi="Times New Roman"/>
          <w:b w:val="0"/>
          <w:i w:val="0"/>
          <w:color w:val="000000"/>
          <w:sz w:val="28"/>
        </w:rPr>
        <w:t>Đề nghị Thường trực Đảng uỷ chỉ đạo UBND xã tiếp thu, giải trình và hoàn thiện các nội dung cụ thể nêu tại mục 2 phần II.</w:t>
      </w:r>
    </w:p>
    <w:p>
      <w:pPr>
        <w:spacing w:before="120" w:after="120" w:lineRule="exact" w:line="360"/>
        <w:ind w:left="0" w:right="0" w:firstLine="567"/>
        <w:jc w:val="both"/>
      </w:pPr>
      <w:r>
        <w:rPr>
          <w:rFonts w:ascii="Times New Roman" w:hAnsi="Times New Roman"/>
          <w:b/>
          <w:i w:val="0"/>
          <w:color w:val="000000"/>
          <w:sz w:val="28"/>
        </w:rPr>
        <w:t xml:space="preserve">3. Về điều kiện trình: </w:t>
      </w:r>
      <w:r>
        <w:rPr>
          <w:rFonts w:ascii="Times New Roman" w:hAnsi="Times New Roman"/>
          <w:b w:val="0"/>
          <w:i w:val="0"/>
          <w:color w:val="000000"/>
          <w:sz w:val="28"/>
        </w:rPr>
        <w:t>Kính đề nghị Thường trực Đảng uỷ xem xét cho ý kiến chỉ đạo (hoặc trình Ban Thường vụ Đảng uỷ cho ý kiến theo Quy chế).</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40"/>
              <w:jc w:val="left"/>
            </w:pPr>
            <w:r>
              <w:rPr>
                <w:rFonts w:ascii="Times New Roman" w:hAnsi="Times New Roman"/>
                <w:sz w:val="28"/>
                <w:u w:val="single"/>
              </w:rPr>
              <w:t>Nơi nhận:</w:t>
            </w:r>
          </w:p>
          <w:p>
            <w:pPr>
              <w:spacing w:lineRule="auto" w:line="252" w:before="0" w:after="20"/>
              <w:jc w:val="left"/>
            </w:pPr>
            <w:r>
              <w:rPr>
                <w:rFonts w:ascii="Times New Roman" w:hAnsi="Times New Roman"/>
                <w:sz w:val="24"/>
              </w:rPr>
              <w:t>- Thường trực Đảng uỷ (b/c);</w:t>
            </w:r>
          </w:p>
          <w:p>
            <w:pPr>
              <w:spacing w:lineRule="auto" w:line="252" w:before="0" w:after="20"/>
              <w:jc w:val="left"/>
            </w:pPr>
            <w:r>
              <w:rPr>
                <w:rFonts w:ascii="Times New Roman" w:hAnsi="Times New Roman"/>
                <w:sz w:val="24"/>
              </w:rPr>
              <w:t>- Ban Thường vụ Đảng uỷ;</w:t>
            </w:r>
          </w:p>
          <w:p>
            <w:pPr>
              <w:spacing w:lineRule="auto" w:line="252" w:before="0" w:after="20"/>
              <w:jc w:val="left"/>
            </w:pPr>
            <w:r>
              <w:rPr>
                <w:rFonts w:ascii="Times New Roman" w:hAnsi="Times New Roman"/>
                <w:sz w:val="24"/>
              </w:rPr>
              <w:t>- UBND xã;</w:t>
            </w:r>
          </w:p>
          <w:p>
            <w:pPr>
              <w:spacing w:lineRule="auto" w:line="252" w:before="0" w:after="20"/>
              <w:jc w:val="left"/>
            </w:pPr>
            <w:r>
              <w:rPr>
                <w:rFonts w:ascii="Times New Roman" w:hAnsi="Times New Roman"/>
                <w:sz w:val="24"/>
              </w:rPr>
              <w:t>- Lưu VPĐU.</w:t>
            </w:r>
          </w:p>
        </w:tc>
        <w:tc>
          <w:tcPr>
            <w:tcW w:type="dxa" w:w="5102"/>
            <w:tcMar>
              <w:top w:w="0" w:type="dxa"/>
              <w:bottom w:w="0" w:type="dxa"/>
              <w:left w:w="70" w:type="dxa"/>
              <w:right w:w="0" w:type="dxa"/>
            </w:tcMar>
          </w:tcPr>
          <w:p>
            <w:pPr>
              <w:spacing w:lineRule="auto" w:line="252" w:before="0" w:after="40"/>
              <w:jc w:val="center"/>
            </w:pPr>
            <w:r>
              <w:rPr>
                <w:rFonts w:ascii="Times New Roman" w:hAnsi="Times New Roman"/>
                <w:b/>
                <w:sz w:val="27"/>
              </w:rPr>
              <w:t>K/T CHÁNH VĂN PHÒNG</w:t>
            </w:r>
          </w:p>
          <w:p>
            <w:pPr>
              <w:spacing w:lineRule="auto" w:line="252" w:before="0" w:after="0"/>
              <w:jc w:val="center"/>
            </w:pPr>
            <w:r>
              <w:rPr>
                <w:rFonts w:ascii="Times New Roman" w:hAnsi="Times New Roman"/>
                <w:b w:val="0"/>
                <w:sz w:val="27"/>
              </w:rPr>
              <w:t>PHÓ CHÁNH VĂN PHÒNG</w:t>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auto" w:line="252" w:before="0" w:after="0"/>
              <w:jc w:val="center"/>
            </w:pPr>
            <w:r>
              <w:rPr>
                <w:rFonts w:ascii="Times New Roman" w:hAnsi="Times New Roman"/>
                <w:b/>
                <w:sz w:val="28"/>
              </w:rPr>
              <w:t>Ngô Hoàng Việt</w:t>
            </w:r>
          </w:p>
        </w:tc>
      </w:tr>
    </w:tbl>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before="120"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