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20"/>
              <w:jc w:val="center"/>
            </w:pPr>
            <w:r>
              <w:rPr>
                <w:rFonts w:ascii="Times New Roman" w:hAnsi="Times New Roman"/>
                <w:sz w:val="28"/>
              </w:rPr>
              <w:t>ĐẢNG UỶ XÃ CÔNG HẢI</w:t>
            </w:r>
          </w:p>
          <w:p>
            <w:pPr>
              <w:spacing w:lineRule="auto" w:line="252" w:before="0" w:after="20"/>
              <w:jc w:val="center"/>
            </w:pPr>
            <w:r>
              <w:rPr>
                <w:rFonts w:ascii="Times New Roman" w:hAnsi="Times New Roman"/>
                <w:b/>
                <w:sz w:val="28"/>
              </w:rPr>
              <w:t>VĂN PHÒNG</w:t>
            </w:r>
          </w:p>
          <w:p>
            <w:pPr>
              <w:spacing w:lineRule="auto" w:line="240" w:before="0" w:after="40"/>
              <w:jc w:val="center"/>
            </w:pPr>
            <w:r>
              <w:rPr>
                <w:rFonts w:ascii="Times New Roman" w:hAnsi="Times New Roman"/>
                <w:b/>
                <w:sz w:val="28"/>
              </w:rPr>
              <w:t>*</w:t>
            </w:r>
          </w:p>
          <w:p>
            <w:pPr>
              <w:spacing w:lineRule="auto" w:line="252" w:before="0" w:after="60"/>
              <w:jc w:val="center"/>
            </w:pPr>
            <w:r>
              <w:rPr>
                <w:rFonts w:ascii="Times New Roman" w:hAnsi="Times New Roman"/>
                <w:sz w:val="28"/>
              </w:rPr>
              <w:t>Số      -BC/VPĐU</w:t>
            </w:r>
          </w:p>
        </w:tc>
        <w:tc>
          <w:tcPr>
            <w:tcW w:type="dxa" w:w="5102"/>
            <w:tcMar>
              <w:top w:w="0" w:type="dxa"/>
              <w:bottom w:w="0" w:type="dxa"/>
              <w:left w:w="70" w:type="dxa"/>
              <w:right w:w="0" w:type="dxa"/>
            </w:tcMar>
          </w:tcPr>
          <w:p>
            <w:pPr>
              <w:spacing w:lineRule="auto" w:line="252" w:before="0" w:after="20"/>
              <w:jc w:val="right"/>
            </w:pPr>
            <w:r>
              <w:rPr>
                <w:rFonts w:ascii="Times New Roman" w:hAnsi="Times New Roman"/>
                <w:b/>
                <w:sz w:val="28"/>
              </w:rPr>
              <w:t>ĐẢNG CỘNG SẢN VIỆT NAM</w:t>
            </w:r>
          </w:p>
          <w:p>
            <w:pPr>
              <w:spacing w:lineRule="auto" w:line="240" w:before="0" w:after="80"/>
              <w:jc w:val="right"/>
            </w:pPr>
            <w:r>
              <w:pict>
                <v:line from="0,0" to="192pt,0" strokecolor="#000000" strokeweight="0.75pt"/>
              </w:pict>
            </w:r>
          </w:p>
          <w:p>
            <w:pPr>
              <w:spacing w:lineRule="auto" w:line="252" w:before="0" w:after="0"/>
              <w:jc w:val="right"/>
            </w:pPr>
            <w:r>
              <w:rPr>
                <w:rFonts w:ascii="Times New Roman" w:hAnsi="Times New Roman"/>
                <w:i/>
                <w:sz w:val="28"/>
              </w:rPr>
              <w:t>Công Hải, ngày   tháng   năm 2026</w:t>
            </w:r>
          </w:p>
        </w:tc>
      </w:tr>
    </w:tbl>
    <w:p>
      <w:pPr>
        <w:spacing w:before="0" w:after="120" w:lineRule="auto" w:line="240"/>
      </w:pPr>
    </w:p>
    <w:p>
      <w:pPr>
        <w:spacing w:before="120" w:after="80" w:lineRule="auto" w:line="276"/>
        <w:jc w:val="center"/>
      </w:pPr>
      <w:r>
        <w:rPr>
          <w:rFonts w:ascii="Times New Roman" w:hAnsi="Times New Roman"/>
          <w:b/>
          <w:sz w:val="30"/>
        </w:rPr>
        <w:t>BÁO CÁO</w:t>
      </w:r>
    </w:p>
    <w:p>
      <w:pPr>
        <w:spacing w:before="0" w:after="200" w:lineRule="auto" w:line="276"/>
        <w:jc w:val="center"/>
      </w:pPr>
      <w:r>
        <w:rPr>
          <w:rFonts w:ascii="Times New Roman" w:hAnsi="Times New Roman"/>
          <w:b/>
          <w:sz w:val="28"/>
        </w:rPr>
        <w:t>Kết quả thẩm định dự thảo Kế hoạch hành động chuyển đổi số của Uỷ ban nhân dân xã</w:t>
      </w:r>
    </w:p>
    <w:p>
      <w:pPr>
        <w:spacing w:before="120" w:after="120" w:lineRule="exact" w:line="360"/>
        <w:ind w:left="0" w:right="0" w:firstLine="567"/>
        <w:jc w:val="both"/>
      </w:pPr>
      <w:r>
        <w:rPr>
          <w:rFonts w:ascii="Times New Roman" w:hAnsi="Times New Roman"/>
          <w:b w:val="0"/>
          <w:i w:val="0"/>
          <w:color w:val="000000"/>
          <w:sz w:val="28"/>
        </w:rPr>
        <w:t>Căn cứ Quy chế làm việc số 01-QC/ĐU ngày 02/7/2025 của Ban Chấp hành Đảng bộ xã Công Hải khoá I và phân công của Thường trực Đảng uỷ, Văn phòng Đảng uỷ đã tiến hành thẩm định hồ sơ dự thảo Kế hoạch hành động chuyển đổi số do UBND xã trình kèm theo Tờ trình số 15/TTr-UBND ngày 20/9/2026. Kết quả thẩm định cụ thể như sau:</w:t>
      </w:r>
    </w:p>
    <w:p>
      <w:pPr>
        <w:spacing w:before="120" w:after="120" w:lineRule="exact" w:line="360"/>
        <w:ind w:left="0" w:right="0" w:firstLine="567"/>
        <w:jc w:val="both"/>
      </w:pPr>
      <w:r>
        <w:rPr>
          <w:rFonts w:ascii="Times New Roman" w:hAnsi="Times New Roman"/>
          <w:b/>
          <w:i w:val="0"/>
          <w:color w:val="000000"/>
          <w:sz w:val="28"/>
        </w:rPr>
        <w:t>I. TỔNG QUAN HỒ SƠ THẨM ĐỊNH</w:t>
      </w:r>
    </w:p>
    <w:p>
      <w:pPr>
        <w:spacing w:before="120" w:after="120" w:lineRule="exact" w:line="360"/>
        <w:ind w:left="0" w:right="0" w:firstLine="567"/>
        <w:jc w:val="both"/>
      </w:pPr>
      <w:r>
        <w:rPr>
          <w:rFonts w:ascii="Times New Roman" w:hAnsi="Times New Roman"/>
          <w:b w:val="0"/>
          <w:i w:val="0"/>
          <w:color w:val="000000"/>
          <w:sz w:val="28"/>
        </w:rPr>
        <w:t>- Cơ quan trình: Uỷ ban nhân dân xã Công Hải.</w:t>
      </w:r>
    </w:p>
    <w:p>
      <w:pPr>
        <w:spacing w:before="120" w:after="120" w:lineRule="exact" w:line="360"/>
        <w:ind w:left="0" w:right="0" w:firstLine="567"/>
        <w:jc w:val="both"/>
      </w:pPr>
      <w:r>
        <w:rPr>
          <w:rFonts w:ascii="Times New Roman" w:hAnsi="Times New Roman"/>
          <w:b w:val="0"/>
          <w:i w:val="0"/>
          <w:color w:val="000000"/>
          <w:sz w:val="28"/>
        </w:rPr>
        <w:t>- Tên dự thảo văn bản: Kế hoạch triển khai thực hiện Kế hoạch số 101-KH/TU của Ban Thường vụ Tỉnh uỷ về hành động 100 ngày giải quyết điểm nghẽn chuyển đổi số.</w:t>
      </w:r>
    </w:p>
    <w:p>
      <w:pPr>
        <w:spacing w:before="120" w:after="120" w:lineRule="exact" w:line="360"/>
        <w:ind w:left="0" w:right="0" w:firstLine="567"/>
        <w:jc w:val="both"/>
      </w:pPr>
      <w:r>
        <w:rPr>
          <w:rFonts w:ascii="Times New Roman" w:hAnsi="Times New Roman"/>
          <w:b w:val="0"/>
          <w:i w:val="0"/>
          <w:color w:val="000000"/>
          <w:sz w:val="28"/>
        </w:rPr>
        <w:t>- Hồ sơ gửi kèm: Tờ trình số 15/TTr-UBND; dự thảo Kế hoạch; Bản tổng hợp ý kiến tham gia của các cơ quan, đơn vị.</w:t>
      </w:r>
    </w:p>
    <w:p>
      <w:pPr>
        <w:spacing w:before="120" w:after="120" w:lineRule="exact" w:line="360"/>
        <w:ind w:left="0" w:right="0" w:firstLine="567"/>
        <w:jc w:val="both"/>
      </w:pPr>
      <w:r>
        <w:rPr>
          <w:rFonts w:ascii="Times New Roman" w:hAnsi="Times New Roman"/>
          <w:b/>
          <w:i w:val="0"/>
          <w:color w:val="000000"/>
          <w:sz w:val="28"/>
        </w:rPr>
        <w:t>II. KẾT QUẢ THẨM ĐỊNH</w:t>
      </w:r>
    </w:p>
    <w:p>
      <w:pPr>
        <w:spacing w:before="120" w:after="120" w:lineRule="exact" w:line="360"/>
        <w:ind w:left="0" w:right="0" w:firstLine="567"/>
        <w:jc w:val="both"/>
      </w:pPr>
      <w:r>
        <w:rPr>
          <w:rFonts w:ascii="Times New Roman" w:hAnsi="Times New Roman"/>
          <w:b/>
          <w:i w:val="0"/>
          <w:color w:val="000000"/>
          <w:sz w:val="28"/>
        </w:rPr>
        <w:t xml:space="preserve">1. Thể thức văn bản: </w:t>
      </w:r>
      <w:r>
        <w:rPr>
          <w:rFonts w:ascii="Times New Roman" w:hAnsi="Times New Roman"/>
          <w:b w:val="0"/>
          <w:i w:val="0"/>
          <w:color w:val="000000"/>
          <w:sz w:val="28"/>
        </w:rPr>
        <w:t>Văn phòng Đảng uỷ đã rà soát, chỉnh sửa trực tiếp trên dự thảo văn bản các lỗi chính tả, chỉnh sửa thể thức văn bản theo đúng Hướng dẫn số 05-HD/VPTW ngày 12/01/2026 của Văn phòng Trung ương Đảng.</w:t>
      </w:r>
    </w:p>
    <w:p>
      <w:pPr>
        <w:spacing w:before="120" w:after="120" w:lineRule="exact" w:line="360"/>
        <w:ind w:left="0" w:right="0" w:firstLine="567"/>
        <w:jc w:val="both"/>
      </w:pPr>
      <w:r>
        <w:rPr>
          <w:rFonts w:ascii="Times New Roman" w:hAnsi="Times New Roman"/>
          <w:b/>
          <w:i w:val="0"/>
          <w:color w:val="000000"/>
          <w:sz w:val="28"/>
        </w:rPr>
        <w:t xml:space="preserve">2. Nội dung và số liệu chuyên môn: </w:t>
      </w:r>
      <w:r>
        <w:rPr>
          <w:rFonts w:ascii="Times New Roman" w:hAnsi="Times New Roman"/>
          <w:b w:val="0"/>
          <w:i w:val="0"/>
          <w:color w:val="000000"/>
          <w:sz w:val="28"/>
        </w:rPr>
        <w:t>Dự thảo Kế hoạch cơ bản bám sát mục tiêu, nhiệm vụ theo chỉ đạo của Ban Thường vụ Tỉnh uỷ. Tuy nhiên, tại Mục III.2, dự thảo chưa xác định rõ tiến độ hoàn thành và phân công cán bộ phụ trách cụ thể cho từng thôn theo nguyên tắc '5 Rõ'; mốc thời hạn hoàn thành tại Khoản 3 Mục IV ấn định ngày 27/9/2026 trùng vào ngày Chủ nhật.</w:t>
      </w:r>
    </w:p>
    <w:p>
      <w:pPr>
        <w:spacing w:before="120" w:after="120" w:lineRule="exact" w:line="360"/>
        <w:ind w:left="0" w:right="0" w:firstLine="567"/>
        <w:jc w:val="both"/>
      </w:pPr>
      <w:r>
        <w:rPr>
          <w:rFonts w:ascii="Times New Roman" w:hAnsi="Times New Roman"/>
          <w:b/>
          <w:i w:val="0"/>
          <w:color w:val="000000"/>
          <w:sz w:val="28"/>
        </w:rPr>
        <w:t>III. ĐỀ XUẤT, KIẾN NGHỊ</w:t>
      </w:r>
    </w:p>
    <w:p>
      <w:pPr>
        <w:spacing w:before="120" w:after="120" w:lineRule="exact" w:line="360"/>
        <w:ind w:left="0" w:right="0" w:firstLine="567"/>
        <w:jc w:val="both"/>
      </w:pPr>
      <w:r>
        <w:rPr>
          <w:rFonts w:ascii="Times New Roman" w:hAnsi="Times New Roman"/>
          <w:b w:val="0"/>
          <w:i w:val="0"/>
          <w:color w:val="000000"/>
          <w:sz w:val="28"/>
        </w:rPr>
        <w:t>Trên cơ sở kết quả thẩm định, Văn phòng Đảng uỷ kính trình Thường trực Đảng uỷ:</w:t>
      </w:r>
    </w:p>
    <w:p>
      <w:pPr>
        <w:spacing w:before="120" w:after="120" w:lineRule="exact" w:line="360"/>
        <w:ind w:left="0" w:right="0" w:firstLine="567"/>
        <w:jc w:val="both"/>
      </w:pPr>
      <w:r>
        <w:rPr>
          <w:rFonts w:ascii="Times New Roman" w:hAnsi="Times New Roman"/>
          <w:b w:val="0"/>
          <w:i w:val="0"/>
          <w:color w:val="000000"/>
          <w:sz w:val="28"/>
        </w:rPr>
        <w:t>- Dự thảo văn bản đã được Văn phòng Đảng uỷ trực tiếp hoàn thiện bảo đảm đúng thể thức Hướng dẫn số 05-HD/VPTW.</w:t>
      </w:r>
    </w:p>
    <w:p>
      <w:pPr>
        <w:spacing w:before="120" w:after="120" w:lineRule="exact" w:line="360"/>
        <w:ind w:left="0" w:right="0" w:firstLine="567"/>
        <w:jc w:val="both"/>
      </w:pPr>
      <w:r>
        <w:rPr>
          <w:rFonts w:ascii="Times New Roman" w:hAnsi="Times New Roman"/>
          <w:b w:val="0"/>
          <w:i w:val="0"/>
          <w:color w:val="000000"/>
          <w:sz w:val="28"/>
        </w:rPr>
        <w:t>- Đề nghị Thường trực Đảng uỷ chỉ đạo UBND xã: (1) Rà soát, bổ sung rõ tiến độ hoàn thành và cá nhân chịu trách nhiệm tại từng thôn tại Mục III.2; (2) Điều chỉnh thời hạn hoàn thành tại Khoản 3 Mục IV sang ngày 28/9/2026 (ngày làm việc).</w:t>
      </w:r>
    </w:p>
    <w:p>
      <w:pPr>
        <w:spacing w:before="120" w:after="120" w:lineRule="exact" w:line="360"/>
        <w:ind w:left="0" w:right="0" w:firstLine="567"/>
        <w:jc w:val="both"/>
      </w:pPr>
      <w:r>
        <w:rPr>
          <w:rFonts w:ascii="Times New Roman" w:hAnsi="Times New Roman"/>
          <w:b w:val="0"/>
          <w:i w:val="0"/>
          <w:color w:val="000000"/>
          <w:sz w:val="28"/>
        </w:rPr>
        <w:t>- Kính đề nghị Thường trực Đảng uỷ xem xét cho ý kiến chỉ đạo tại cuộc họp giao ban tuần trước khi trình Ban Thường vụ Đảng uỷ ban hành./.</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40"/>
              <w:jc w:val="left"/>
            </w:pPr>
            <w:r>
              <w:rPr>
                <w:rFonts w:ascii="Times New Roman" w:hAnsi="Times New Roman"/>
                <w:sz w:val="28"/>
                <w:u w:val="single"/>
              </w:rPr>
              <w:t>Nơi nhận:</w:t>
            </w:r>
          </w:p>
          <w:p>
            <w:pPr>
              <w:spacing w:lineRule="auto" w:line="252" w:before="0" w:after="20"/>
              <w:jc w:val="left"/>
            </w:pPr>
            <w:r>
              <w:rPr>
                <w:rFonts w:ascii="Times New Roman" w:hAnsi="Times New Roman"/>
                <w:sz w:val="24"/>
              </w:rPr>
              <w:t>- Thường trực Đảng uỷ;</w:t>
            </w:r>
          </w:p>
          <w:p>
            <w:pPr>
              <w:spacing w:lineRule="auto" w:line="252" w:before="0" w:after="20"/>
              <w:jc w:val="left"/>
            </w:pPr>
            <w:r>
              <w:rPr>
                <w:rFonts w:ascii="Times New Roman" w:hAnsi="Times New Roman"/>
                <w:sz w:val="24"/>
              </w:rPr>
              <w:t>- Ban Thường vụ Đảng uỷ;</w:t>
            </w:r>
          </w:p>
          <w:p>
            <w:pPr>
              <w:spacing w:lineRule="auto" w:line="252" w:before="0" w:after="20"/>
              <w:jc w:val="left"/>
            </w:pPr>
            <w:r>
              <w:rPr>
                <w:rFonts w:ascii="Times New Roman" w:hAnsi="Times New Roman"/>
                <w:sz w:val="24"/>
              </w:rPr>
              <w:t>- Uỷ ban nhân dân xã;</w:t>
            </w:r>
          </w:p>
          <w:p>
            <w:pPr>
              <w:spacing w:lineRule="auto" w:line="252" w:before="0" w:after="20"/>
              <w:jc w:val="left"/>
            </w:pPr>
            <w:r>
              <w:rPr>
                <w:rFonts w:ascii="Times New Roman" w:hAnsi="Times New Roman"/>
                <w:sz w:val="24"/>
              </w:rPr>
              <w:t>- Lưu VPĐU.</w:t>
            </w:r>
          </w:p>
        </w:tc>
        <w:tc>
          <w:tcPr>
            <w:tcW w:type="dxa" w:w="5102"/>
            <w:tcMar>
              <w:top w:w="0" w:type="dxa"/>
              <w:bottom w:w="0" w:type="dxa"/>
              <w:left w:w="70" w:type="dxa"/>
              <w:right w:w="0" w:type="dxa"/>
            </w:tcMar>
          </w:tcPr>
          <w:p>
            <w:pPr>
              <w:spacing w:lineRule="auto" w:line="252" w:before="0" w:after="40"/>
              <w:jc w:val="center"/>
            </w:pPr>
            <w:r>
              <w:rPr>
                <w:rFonts w:ascii="Times New Roman" w:hAnsi="Times New Roman"/>
                <w:b/>
                <w:sz w:val="27"/>
              </w:rPr>
              <w:t>K/T CHÁNH VĂN PHÒNG</w:t>
            </w:r>
          </w:p>
          <w:p>
            <w:pPr>
              <w:spacing w:lineRule="auto" w:line="252" w:before="0" w:after="0"/>
              <w:jc w:val="center"/>
            </w:pPr>
            <w:r>
              <w:rPr>
                <w:rFonts w:ascii="Times New Roman" w:hAnsi="Times New Roman"/>
                <w:b w:val="0"/>
                <w:sz w:val="27"/>
              </w:rPr>
              <w:t>PHÓ CHÁNH VĂN PHÒNG</w:t>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auto" w:line="252" w:before="0" w:after="0"/>
              <w:jc w:val="center"/>
            </w:pPr>
            <w:r>
              <w:rPr>
                <w:rFonts w:ascii="Times New Roman" w:hAnsi="Times New Roman"/>
                <w:b/>
                <w:sz w:val="28"/>
              </w:rPr>
              <w:t>Ngô Hoàng Việt</w:t>
            </w:r>
          </w:p>
        </w:tc>
      </w:tr>
    </w:tbl>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360" w:before="120" w:after="12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