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20"/>
              <w:jc w:val="center"/>
            </w:pPr>
            <w:r>
              <w:rPr>
                <w:rFonts w:ascii="Times New Roman" w:hAnsi="Times New Roman"/>
                <w:sz w:val="28"/>
              </w:rPr>
              <w:t>ĐẢNG BỘ TỈNH KHÁNH HOÀ</w:t>
            </w:r>
          </w:p>
          <w:p>
            <w:pPr>
              <w:spacing w:lineRule="auto" w:line="252" w:before="0" w:after="20"/>
              <w:jc w:val="center"/>
            </w:pPr>
            <w:r>
              <w:rPr>
                <w:rFonts w:ascii="Times New Roman" w:hAnsi="Times New Roman"/>
                <w:b/>
                <w:sz w:val="28"/>
              </w:rPr>
              <w:t>ĐẢNG UỶ XÃ CÔNG HẢI</w:t>
            </w:r>
          </w:p>
          <w:p>
            <w:pPr>
              <w:spacing w:lineRule="auto" w:line="240" w:before="0" w:after="40"/>
              <w:jc w:val="center"/>
            </w:pPr>
            <w:r>
              <w:rPr>
                <w:rFonts w:ascii="Times New Roman" w:hAnsi="Times New Roman"/>
                <w:b/>
                <w:sz w:val="28"/>
              </w:rPr>
              <w:t>*</w:t>
            </w:r>
          </w:p>
          <w:p>
            <w:pPr>
              <w:spacing w:lineRule="auto" w:line="252" w:before="0" w:after="60"/>
              <w:jc w:val="center"/>
            </w:pPr>
            <w:r>
              <w:rPr>
                <w:rFonts w:ascii="Times New Roman" w:hAnsi="Times New Roman"/>
                <w:sz w:val="28"/>
              </w:rPr>
              <w:t>Số 05-CT/ĐU</w:t>
            </w:r>
          </w:p>
        </w:tc>
        <w:tc>
          <w:tcPr>
            <w:tcW w:type="dxa" w:w="5102"/>
            <w:tcMar>
              <w:top w:w="0" w:type="dxa"/>
              <w:bottom w:w="0" w:type="dxa"/>
              <w:left w:w="70" w:type="dxa"/>
              <w:right w:w="0" w:type="dxa"/>
            </w:tcMar>
          </w:tcPr>
          <w:p>
            <w:pPr>
              <w:spacing w:lineRule="auto" w:line="252" w:before="0" w:after="20"/>
              <w:jc w:val="right"/>
            </w:pPr>
            <w:r>
              <w:rPr>
                <w:rFonts w:ascii="Times New Roman" w:hAnsi="Times New Roman"/>
                <w:b/>
                <w:sz w:val="28"/>
              </w:rPr>
              <w:t>ĐẢNG CỘNG SẢN VIỆT NAM</w:t>
            </w:r>
          </w:p>
          <w:p>
            <w:pPr>
              <w:spacing w:lineRule="auto" w:line="240" w:before="0" w:after="80"/>
              <w:jc w:val="right"/>
            </w:pPr>
            <w:r>
              <w:pict>
                <v:line from="0,0" to="192pt,0" strokecolor="#000000" strokeweight="0.75pt"/>
              </w:pict>
            </w:r>
          </w:p>
          <w:p>
            <w:pPr>
              <w:spacing w:lineRule="auto" w:line="252" w:before="0" w:after="0"/>
              <w:jc w:val="right"/>
            </w:pPr>
            <w:r>
              <w:rPr>
                <w:rFonts w:ascii="Times New Roman" w:hAnsi="Times New Roman"/>
                <w:i/>
                <w:sz w:val="28"/>
              </w:rPr>
              <w:t>Công Hải, ngày   tháng   năm 2026</w:t>
            </w:r>
          </w:p>
        </w:tc>
      </w:tr>
    </w:tbl>
    <w:p>
      <w:pPr>
        <w:spacing w:before="0" w:after="120" w:lineRule="auto" w:line="240"/>
      </w:pPr>
    </w:p>
    <w:p>
      <w:pPr>
        <w:spacing w:before="120" w:after="80" w:lineRule="auto" w:line="276"/>
        <w:jc w:val="center"/>
      </w:pPr>
      <w:r>
        <w:rPr>
          <w:rFonts w:ascii="Times New Roman" w:hAnsi="Times New Roman"/>
          <w:b/>
          <w:sz w:val="30"/>
        </w:rPr>
        <w:t>CHỈ THỊ</w:t>
      </w:r>
    </w:p>
    <w:p>
      <w:pPr>
        <w:spacing w:before="0" w:after="200" w:lineRule="auto" w:line="276"/>
        <w:jc w:val="center"/>
      </w:pPr>
      <w:r>
        <w:rPr>
          <w:rFonts w:ascii="Times New Roman" w:hAnsi="Times New Roman"/>
          <w:b/>
          <w:sz w:val="28"/>
        </w:rPr>
        <w:t>Về tăng cường công tác phòng cháy, chữa cháy và cứu nạn, cứu hộ mùa khô năm 2026</w:t>
      </w:r>
    </w:p>
    <w:p>
      <w:pPr>
        <w:spacing w:before="120" w:after="120" w:lineRule="exact" w:line="360"/>
        <w:ind w:left="0" w:right="0" w:firstLine="567"/>
        <w:jc w:val="both"/>
      </w:pPr>
      <w:r>
        <w:rPr>
          <w:rFonts w:ascii="Times New Roman" w:hAnsi="Times New Roman"/>
          <w:b w:val="0"/>
          <w:i/>
          <w:color w:val="000000"/>
          <w:sz w:val="28"/>
        </w:rPr>
        <w:t>Căn cứ Điều lệ Đảng Cộng sản Việt Nam;</w:t>
      </w:r>
    </w:p>
    <w:p>
      <w:pPr>
        <w:spacing w:before="120" w:after="120" w:lineRule="exact" w:line="360"/>
        <w:ind w:left="0" w:right="0" w:firstLine="567"/>
        <w:jc w:val="both"/>
      </w:pPr>
      <w:r>
        <w:rPr>
          <w:rFonts w:ascii="Times New Roman" w:hAnsi="Times New Roman"/>
          <w:b w:val="0"/>
          <w:i/>
          <w:color w:val="000000"/>
          <w:sz w:val="28"/>
        </w:rPr>
        <w:t>Căn cứ Chỉ thị số 12-CT/TU ngày 15/02/2026 của Tỉnh uỷ Khánh Hoà về công tác phòng cháy, chữa cháy;</w:t>
      </w:r>
    </w:p>
    <w:p>
      <w:pPr>
        <w:spacing w:before="120" w:after="120" w:lineRule="exact" w:line="360"/>
        <w:ind w:left="0" w:right="0" w:firstLine="567"/>
        <w:jc w:val="both"/>
      </w:pPr>
      <w:r>
        <w:rPr>
          <w:rFonts w:ascii="Times New Roman" w:hAnsi="Times New Roman"/>
          <w:b w:val="0"/>
          <w:i w:val="0"/>
          <w:color w:val="000000"/>
          <w:sz w:val="28"/>
        </w:rPr>
        <w:t>Trong thời gian qua, công tác phòng cháy, chữa cháy trên địa bàn xã đã có nhiều chuyển biến tích cực. Nhằm chủ động phòng ngừa, Ban Thường vụ Đảng uỷ yêu cầu:</w:t>
      </w:r>
    </w:p>
    <w:p>
      <w:pPr>
        <w:spacing w:before="120" w:after="120" w:lineRule="exact" w:line="360"/>
        <w:ind w:left="0" w:right="0" w:firstLine="567"/>
        <w:jc w:val="both"/>
      </w:pPr>
      <w:r>
        <w:rPr>
          <w:rFonts w:ascii="Times New Roman" w:hAnsi="Times New Roman"/>
          <w:b/>
          <w:i w:val="0"/>
          <w:color w:val="000000"/>
          <w:sz w:val="28"/>
        </w:rPr>
        <w:t>I. MỤC ĐÍCH, YÊU CẦU</w:t>
      </w:r>
    </w:p>
    <w:p>
      <w:pPr>
        <w:spacing w:before="120" w:after="120" w:lineRule="exact" w:line="360"/>
        <w:ind w:left="0" w:right="0" w:firstLine="567"/>
        <w:jc w:val="both"/>
      </w:pPr>
      <w:r>
        <w:rPr>
          <w:rFonts w:ascii="Times New Roman" w:hAnsi="Times New Roman"/>
          <w:b w:val="0"/>
          <w:i w:val="0"/>
          <w:color w:val="000000"/>
          <w:sz w:val="28"/>
        </w:rPr>
        <w:t>Nâng cao ý thức cảnh giác và tinh thần trách nhiệm của cả hệ thống chính trị trong phòng ngừa cháy nổ.</w:t>
      </w:r>
    </w:p>
    <w:p>
      <w:pPr>
        <w:spacing w:before="120" w:after="120" w:lineRule="exact" w:line="360"/>
        <w:ind w:left="0" w:right="0" w:firstLine="567"/>
        <w:jc w:val="both"/>
      </w:pPr>
      <w:r>
        <w:rPr>
          <w:rFonts w:ascii="Times New Roman" w:hAnsi="Times New Roman"/>
          <w:b/>
          <w:i w:val="0"/>
          <w:color w:val="000000"/>
          <w:sz w:val="28"/>
        </w:rPr>
        <w:t>II. NHIỆM VỤ TRỌNG TÂM</w:t>
      </w:r>
    </w:p>
    <w:p>
      <w:pPr>
        <w:spacing w:before="120" w:after="120" w:lineRule="exact" w:line="360"/>
        <w:ind w:left="0" w:right="0" w:firstLine="567"/>
        <w:jc w:val="both"/>
      </w:pPr>
      <w:r>
        <w:rPr>
          <w:rFonts w:ascii="Times New Roman" w:hAnsi="Times New Roman"/>
          <w:b/>
          <w:i w:val="0"/>
          <w:color w:val="000000"/>
          <w:sz w:val="28"/>
        </w:rPr>
        <w:t xml:space="preserve">1. Uỷ ban nhân dân xã: </w:t>
      </w:r>
      <w:r>
        <w:rPr>
          <w:rFonts w:ascii="Times New Roman" w:hAnsi="Times New Roman"/>
          <w:b w:val="0"/>
          <w:i w:val="0"/>
          <w:color w:val="000000"/>
          <w:sz w:val="28"/>
        </w:rPr>
        <w:t xml:space="preserve">Tăng cường kiểm tra, rà soát các khu dân cư có nguy cơ cao; đây là nhiệm vụ </w:t>
      </w:r>
      <w:r>
        <w:rPr>
          <w:rFonts w:ascii="Times New Roman" w:hAnsi="Times New Roman"/>
          <w:b/>
          <w:i/>
          <w:color w:val="000000"/>
          <w:sz w:val="28"/>
        </w:rPr>
        <w:t>đặc biệt quan trọng và cấp bách</w:t>
      </w:r>
      <w:r>
        <w:rPr>
          <w:rFonts w:ascii="Times New Roman" w:hAnsi="Times New Roman"/>
          <w:b w:val="0"/>
          <w:i w:val="0"/>
          <w:color w:val="000000"/>
          <w:sz w:val="28"/>
        </w:rPr>
        <w:t xml:space="preserve"> trong mùa khô.</w:t>
      </w:r>
    </w:p>
    <w:p>
      <w:pPr>
        <w:spacing w:before="120" w:after="120" w:lineRule="exact" w:line="360"/>
        <w:ind w:left="0" w:right="0" w:firstLine="567"/>
        <w:jc w:val="both"/>
      </w:pPr>
      <w:r>
        <w:rPr>
          <w:rFonts w:ascii="Times New Roman" w:hAnsi="Times New Roman"/>
          <w:b/>
          <w:i w:val="0"/>
          <w:color w:val="000000"/>
          <w:sz w:val="28"/>
        </w:rPr>
        <w:t xml:space="preserve">2. Công an xã: </w:t>
      </w:r>
      <w:r>
        <w:rPr>
          <w:rFonts w:ascii="Times New Roman" w:hAnsi="Times New Roman"/>
          <w:b w:val="0"/>
          <w:i w:val="0"/>
          <w:color w:val="000000"/>
          <w:sz w:val="28"/>
        </w:rPr>
        <w:t>Chuẩn bị đầy đủ lực lượng, phương tiện tại chỗ; chủ động phương án 4 tại chỗ.</w:t>
      </w:r>
    </w:p>
    <w:p>
      <w:pPr>
        <w:spacing w:before="120" w:after="120" w:lineRule="exact" w:line="360"/>
        <w:ind w:left="0" w:right="0" w:firstLine="567"/>
        <w:jc w:val="both"/>
      </w:pPr>
      <w:r>
        <w:rPr>
          <w:rFonts w:ascii="Times New Roman" w:hAnsi="Times New Roman"/>
          <w:b w:val="0"/>
          <w:i w:val="0"/>
          <w:color w:val="000000"/>
          <w:sz w:val="28"/>
        </w:rPr>
        <w:t>- Tuyệt đối không để xảy ra bị động, bất ngờ.</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40"/>
              <w:jc w:val="left"/>
            </w:pPr>
            <w:r>
              <w:rPr>
                <w:rFonts w:ascii="Times New Roman" w:hAnsi="Times New Roman"/>
                <w:sz w:val="28"/>
                <w:u w:val="single"/>
              </w:rPr>
              <w:t>Nơi nhận:</w:t>
            </w:r>
          </w:p>
          <w:p>
            <w:pPr>
              <w:spacing w:lineRule="auto" w:line="252" w:before="0" w:after="20"/>
              <w:jc w:val="left"/>
            </w:pPr>
            <w:r>
              <w:rPr>
                <w:rFonts w:ascii="Times New Roman" w:hAnsi="Times New Roman"/>
                <w:sz w:val="24"/>
              </w:rPr>
              <w:t>- Thường trực Tỉnh uỷ (để b/c);</w:t>
            </w:r>
          </w:p>
          <w:p>
            <w:pPr>
              <w:spacing w:lineRule="auto" w:line="252" w:before="0" w:after="20"/>
              <w:jc w:val="left"/>
            </w:pPr>
            <w:r>
              <w:rPr>
                <w:rFonts w:ascii="Times New Roman" w:hAnsi="Times New Roman"/>
                <w:sz w:val="24"/>
              </w:rPr>
              <w:t>- UBND xã;</w:t>
            </w:r>
          </w:p>
          <w:p>
            <w:pPr>
              <w:spacing w:lineRule="auto" w:line="252" w:before="0" w:after="20"/>
              <w:jc w:val="left"/>
            </w:pPr>
            <w:r>
              <w:rPr>
                <w:rFonts w:ascii="Times New Roman" w:hAnsi="Times New Roman"/>
                <w:sz w:val="24"/>
              </w:rPr>
              <w:t>- Các chi bộ trực thuộc;</w:t>
            </w:r>
          </w:p>
          <w:p>
            <w:pPr>
              <w:spacing w:lineRule="auto" w:line="252" w:before="0" w:after="20"/>
              <w:jc w:val="left"/>
            </w:pPr>
            <w:r>
              <w:rPr>
                <w:rFonts w:ascii="Times New Roman" w:hAnsi="Times New Roman"/>
                <w:sz w:val="24"/>
              </w:rPr>
              <w:t>- Lưu VPĐU.</w:t>
            </w:r>
          </w:p>
        </w:tc>
        <w:tc>
          <w:tcPr>
            <w:tcW w:type="dxa" w:w="5102"/>
            <w:tcMar>
              <w:top w:w="0" w:type="dxa"/>
              <w:bottom w:w="0" w:type="dxa"/>
              <w:left w:w="70" w:type="dxa"/>
              <w:right w:w="0" w:type="dxa"/>
            </w:tcMar>
          </w:tcPr>
          <w:p>
            <w:pPr>
              <w:spacing w:lineRule="auto" w:line="252" w:before="0" w:after="40"/>
              <w:jc w:val="center"/>
            </w:pPr>
            <w:r>
              <w:rPr>
                <w:rFonts w:ascii="Times New Roman" w:hAnsi="Times New Roman"/>
                <w:b/>
                <w:sz w:val="27"/>
              </w:rPr>
              <w:t>T/M BAN THƯỜNG VỤ</w:t>
            </w:r>
          </w:p>
          <w:p>
            <w:pPr>
              <w:spacing w:lineRule="auto" w:line="252" w:before="0" w:after="0"/>
              <w:jc w:val="center"/>
            </w:pPr>
            <w:r>
              <w:rPr>
                <w:rFonts w:ascii="Times New Roman" w:hAnsi="Times New Roman"/>
                <w:b w:val="0"/>
                <w:sz w:val="27"/>
              </w:rPr>
              <w:t>BÍ THƯ</w:t>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auto" w:line="252" w:before="0" w:after="0"/>
              <w:jc w:val="center"/>
            </w:pPr>
            <w:r>
              <w:rPr>
                <w:rFonts w:ascii="Times New Roman" w:hAnsi="Times New Roman"/>
                <w:b/>
                <w:sz w:val="28"/>
              </w:rPr>
              <w:t>Vũ Thị Thuỳ Trang</w:t>
            </w:r>
          </w:p>
        </w:tc>
      </w:tr>
    </w:tbl>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60" w:before="120" w:after="12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