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-CV/ĐU</w:t>
            </w:r>
          </w:p>
          <w:p>
            <w:pPr>
              <w:spacing w:lineRule="auto" w:line="252" w:before="0" w:after="0"/>
              <w:jc w:val="center"/>
            </w:pPr>
            <w:r>
              <w:rPr>
                <w:rFonts w:ascii="Times New Roman" w:hAnsi="Times New Roman"/>
                <w:i/>
                <w:sz w:val="24"/>
              </w:rPr>
              <w:t>V/v tham mưu Kế hoạch thực hiện Công văn số 1412-CV/TU của Thường trực Tỉnh uỷ</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6803"/>
      </w:tblGrid>
      <w:tr>
        <w:tc>
          <w:tcPr>
            <w:tcW w:type="dxa" w:w="2551"/>
            <w:tcMar>
              <w:top w:w="0" w:type="dxa"/>
              <w:bottom w:w="0" w:type="dxa"/>
              <w:left w:w="0" w:type="dxa"/>
              <w:right w:w="40" w:type="dxa"/>
            </w:tcMar>
          </w:tcPr>
          <w:p>
            <w:pPr>
              <w:spacing w:lineRule="exact" w:line="360" w:before="120" w:after="120"/>
              <w:jc w:val="right"/>
            </w:pPr>
            <w:r>
              <w:rPr>
                <w:rFonts w:ascii="Times New Roman" w:hAnsi="Times New Roman"/>
                <w:i/>
                <w:sz w:val="28"/>
              </w:rPr>
              <w:t xml:space="preserve">Kính gửi: </w:t>
            </w:r>
          </w:p>
        </w:tc>
        <w:tc>
          <w:tcPr>
            <w:tcW w:type="dxa" w:w="6803"/>
            <w:tcMar>
              <w:top w:w="0" w:type="dxa"/>
              <w:bottom w:w="0" w:type="dxa"/>
              <w:left w:w="40" w:type="dxa"/>
              <w:right w:w="0" w:type="dxa"/>
            </w:tcMar>
          </w:tcPr>
          <w:p>
            <w:pPr>
              <w:spacing w:lineRule="exact" w:line="360" w:before="120" w:after="120"/>
              <w:jc w:val="left"/>
            </w:pPr>
            <w:r>
              <w:rPr>
                <w:rFonts w:ascii="Times New Roman" w:hAnsi="Times New Roman"/>
                <w:b w:val="0"/>
                <w:sz w:val="28"/>
              </w:rPr>
              <w:t>- Uỷ ban nhân dân xã;</w:t>
            </w:r>
          </w:p>
          <w:p>
            <w:pPr>
              <w:spacing w:lineRule="exact" w:line="360" w:before="120" w:after="120"/>
              <w:jc w:val="left"/>
            </w:pPr>
            <w:r>
              <w:rPr>
                <w:rFonts w:ascii="Times New Roman" w:hAnsi="Times New Roman"/>
                <w:b w:val="0"/>
                <w:sz w:val="28"/>
              </w:rPr>
              <w:t>- Ban Xây dựng Đảng;</w:t>
            </w:r>
          </w:p>
          <w:p>
            <w:pPr>
              <w:spacing w:lineRule="exact" w:line="360" w:before="120" w:after="120"/>
              <w:jc w:val="left"/>
            </w:pPr>
            <w:r>
              <w:rPr>
                <w:rFonts w:ascii="Times New Roman" w:hAnsi="Times New Roman"/>
                <w:b w:val="0"/>
                <w:sz w:val="28"/>
              </w:rPr>
              <w:t>- Uỷ ban Kiểm tra Đảng uỷ;</w:t>
            </w:r>
          </w:p>
          <w:p>
            <w:pPr>
              <w:spacing w:lineRule="exact" w:line="360" w:before="120" w:after="120"/>
              <w:jc w:val="left"/>
            </w:pPr>
            <w:r>
              <w:rPr>
                <w:rFonts w:ascii="Times New Roman" w:hAnsi="Times New Roman"/>
                <w:b w:val="0"/>
                <w:sz w:val="28"/>
              </w:rPr>
              <w:t>- Cơ quan Uỷ ban Mặt trận Tổ quốc Việt Nam xã.</w:t>
            </w:r>
          </w:p>
        </w:tc>
      </w:tr>
    </w:tbl>
    <w:p>
      <w:pPr>
        <w:spacing w:before="120" w:after="120" w:lineRule="exact" w:line="360"/>
        <w:ind w:left="0" w:right="0" w:firstLine="567"/>
        <w:jc w:val="both"/>
      </w:pPr>
      <w:r>
        <w:rPr>
          <w:rFonts w:ascii="Times New Roman" w:hAnsi="Times New Roman"/>
          <w:b w:val="0"/>
          <w:i w:val="0"/>
          <w:color w:val="000000"/>
          <w:sz w:val="28"/>
        </w:rPr>
        <w:t>Thực hiện Công văn số 1412-CV/TU ngày 10/7/2026 của Thường trực Tỉnh uỷ Khánh Hoà về việc rà soát, điều chỉnh các nhiệm vụ trọng tâm, đột phá; nhằm kịp thời cụ thể hoá và triển khai có hiệu quả các mục tiêu, nhiệm vụ trên địa bàn xã, Ban Thường vụ Đảng uỷ xã yêu cầu các cơ quan, đơn vị triển khai thực hiện các nội dung sau:</w:t>
      </w:r>
    </w:p>
    <w:p>
      <w:pPr>
        <w:spacing w:before="120" w:after="120" w:lineRule="exact" w:line="360"/>
        <w:ind w:left="0" w:right="0" w:firstLine="567"/>
        <w:jc w:val="both"/>
      </w:pPr>
      <w:r>
        <w:rPr>
          <w:rFonts w:ascii="Times New Roman" w:hAnsi="Times New Roman"/>
          <w:b/>
          <w:i w:val="0"/>
          <w:color w:val="000000"/>
          <w:sz w:val="28"/>
        </w:rPr>
        <w:t xml:space="preserve">1. Uỷ ban nhân dân xã: </w:t>
      </w:r>
      <w:r>
        <w:rPr>
          <w:rFonts w:ascii="Times New Roman" w:hAnsi="Times New Roman"/>
          <w:b w:val="0"/>
          <w:i w:val="0"/>
          <w:color w:val="000000"/>
          <w:sz w:val="28"/>
        </w:rPr>
        <w:t xml:space="preserve">Chủ trì, phối hợp với các cơ quan chuyên môn rà soát, đánh giá tính hiệu quả, cần thiết của các nhiệm vụ trọng tâm, đột phá thuộc lĩnh vực kinh tế - xã hội, ngân sách, đất đai, môi trường, quốc phòng - an ninh, hạ tầng, dịch vụ công, chuyển đổi số chính quyền; đề xuất điều chỉnh, thay thế hoặc lược bỏ nhiệm vụ không còn đáp ứng yêu cầu (có giải trình rõ lý do); đề xuất bổ sung nhiệm vụ mới, cấp thiết, tác động trực tiếp đến hoàn thành mục tiêu, chỉ tiêu năm 2026; gửi văn bản đề xuất về Văn phòng Đảng uỷ </w:t>
      </w:r>
      <w:r>
        <w:rPr>
          <w:rFonts w:ascii="Times New Roman" w:hAnsi="Times New Roman"/>
          <w:b/>
          <w:i w:val="0"/>
          <w:color w:val="000000"/>
          <w:sz w:val="28"/>
        </w:rPr>
        <w:t>trước ngày 14/07/2026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i w:val="0"/>
          <w:color w:val="000000"/>
          <w:sz w:val="28"/>
        </w:rPr>
        <w:t xml:space="preserve">2. Ban Xây dựng Đảng: </w:t>
      </w:r>
      <w:r>
        <w:rPr>
          <w:rFonts w:ascii="Times New Roman" w:hAnsi="Times New Roman"/>
          <w:b w:val="0"/>
          <w:i w:val="0"/>
          <w:color w:val="000000"/>
          <w:sz w:val="28"/>
        </w:rPr>
        <w:t xml:space="preserve">Chủ trì rà soát, đánh giá các nhiệm vụ trọng tâm, đột phá thuộc lĩnh vực công tác tổ chức cán bộ, phát triển đảng viên, bảo vệ chính trị nội bộ, tuyên giáo, giáo dục chính trị tư tưởng, học tập nghị quyết; đề xuất điều chỉnh, thay thế, lược bỏ hoặc bổ sung nhiệm vụ mới theo phương châm “6 rõ”, gắn với nguồn lực và điều kiện thực hiện; gửi văn bản đề xuất về Văn phòng Đảng uỷ </w:t>
      </w:r>
      <w:r>
        <w:rPr>
          <w:rFonts w:ascii="Times New Roman" w:hAnsi="Times New Roman"/>
          <w:b/>
          <w:i w:val="0"/>
          <w:color w:val="000000"/>
          <w:sz w:val="28"/>
        </w:rPr>
        <w:t>trước ngày 14/07/2026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i w:val="0"/>
          <w:color w:val="000000"/>
          <w:sz w:val="28"/>
        </w:rPr>
        <w:t xml:space="preserve">3. Uỷ ban Kiểm tra Đảng uỷ: </w:t>
      </w:r>
      <w:r>
        <w:rPr>
          <w:rFonts w:ascii="Times New Roman" w:hAnsi="Times New Roman"/>
          <w:b w:val="0"/>
          <w:i w:val="0"/>
          <w:color w:val="000000"/>
          <w:sz w:val="28"/>
        </w:rPr>
        <w:t xml:space="preserve">Rà soát, đánh giá các nhiệm vụ trọng tâm, đột phá thuộc lĩnh vực kiểm tra, giám sát, thi hành kỷ luật Đảng, giải quyết khiếu nại tố cáo liên quan đến đảng viên và tổ chức đảng; đề xuất điều chỉnh, thay thế, lược bỏ hoặc bổ sung nhiệm vụ mới bảo đảm sát thực tiễn, hiệu quả; gửi văn bản đề xuất về Văn phòng Đảng uỷ </w:t>
      </w:r>
      <w:r>
        <w:rPr>
          <w:rFonts w:ascii="Times New Roman" w:hAnsi="Times New Roman"/>
          <w:b/>
          <w:i w:val="0"/>
          <w:color w:val="000000"/>
          <w:sz w:val="28"/>
        </w:rPr>
        <w:t>trước ngày 14/07/2026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i w:val="0"/>
          <w:color w:val="000000"/>
          <w:sz w:val="28"/>
        </w:rPr>
        <w:t xml:space="preserve">4. Cơ quan Uỷ ban Mặt trận Tổ quốc Việt Nam xã: </w:t>
      </w:r>
      <w:r>
        <w:rPr>
          <w:rFonts w:ascii="Times New Roman" w:hAnsi="Times New Roman"/>
          <w:b w:val="0"/>
          <w:i w:val="0"/>
          <w:color w:val="000000"/>
          <w:sz w:val="28"/>
        </w:rPr>
        <w:t xml:space="preserve">Chủ trì, phối hợp với các đoàn thể chính trị - xã hội rà soát, đánh giá các nhiệm vụ trọng tâm, đột phá thuộc lĩnh vực đại đoàn kết, giám sát và phản biện xã hội, công tác Dân vận, Dân tộc, Tôn giáo, thực hiện Dân chủ ở cơ sở; đề xuất điều chỉnh, thay thế, lược bỏ hoặc bổ sung nhiệm vụ mới; gửi văn bản đề xuất về Văn phòng Đảng uỷ </w:t>
      </w:r>
      <w:r>
        <w:rPr>
          <w:rFonts w:ascii="Times New Roman" w:hAnsi="Times New Roman"/>
          <w:b/>
          <w:i w:val="0"/>
          <w:color w:val="000000"/>
          <w:sz w:val="28"/>
        </w:rPr>
        <w:t>trước ngày 14/07/2026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i w:val="0"/>
          <w:color w:val="000000"/>
          <w:sz w:val="28"/>
        </w:rPr>
        <w:t xml:space="preserve">5. Văn phòng Đảng uỷ: </w:t>
      </w:r>
      <w:r>
        <w:rPr>
          <w:rFonts w:ascii="Times New Roman" w:hAnsi="Times New Roman"/>
          <w:b w:val="0"/>
          <w:i w:val="0"/>
          <w:color w:val="000000"/>
          <w:sz w:val="28"/>
        </w:rPr>
        <w:t xml:space="preserve">Chủ trì tổng hợp kết quả rà soát, đề xuất của các cơ quan, đơn vị; tham mưu Ban Thường vụ Đảng uỷ xây dựng văn bản đề xuất gửi Ban Tổ chức Tỉnh uỷ (đối với khối Đảng, Mặt trận Tổ quốc và các tổ chức chính trị - xã hội) và Đảng uỷ Uỷ ban nhân dân tỉnh (đối với khối chính quyền) </w:t>
      </w:r>
      <w:r>
        <w:rPr>
          <w:rFonts w:ascii="Times New Roman" w:hAnsi="Times New Roman"/>
          <w:b/>
          <w:i w:val="0"/>
          <w:color w:val="000000"/>
          <w:sz w:val="28"/>
        </w:rPr>
        <w:t>trước ngày 15/07/2026</w:t>
      </w:r>
      <w:r>
        <w:rPr>
          <w:rFonts w:ascii="Times New Roman" w:hAnsi="Times New Roman"/>
          <w:b w:val="0"/>
          <w:i w:val="0"/>
          <w:color w:val="000000"/>
          <w:sz w:val="28"/>
        </w:rPr>
        <w:t>; theo dõi, đôn đốc tiến độ thực hiện Công văn này; báo cáo Thường trực Đảng uỷ định kỳ thứ Sáu hằng tuần.</w:t>
      </w:r>
    </w:p>
    <w:p>
      <w:pPr>
        <w:spacing w:before="120" w:after="120" w:lineRule="exact" w:line="360"/>
        <w:ind w:left="0" w:right="0" w:firstLine="567"/>
        <w:jc w:val="both"/>
      </w:pPr>
      <w:r>
        <w:rPr>
          <w:rFonts w:ascii="Times New Roman" w:hAnsi="Times New Roman"/>
          <w:b w:val="0"/>
          <w:i w:val="0"/>
          <w:color w:val="000000"/>
          <w:sz w:val="28"/>
        </w:rPr>
        <w:t>Yêu cầu các cơ quan, đơn vị nghiêm túc, khẩn trương tổ chức triển khai thực hiện./.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Như trên;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