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6"/>
              </w:rPr>
              <w:t>ĐẢNG UỶ XÃ CÔNG HẢI</w:t>
            </w:r>
          </w:p>
          <w:p>
            <w:pPr>
              <w:spacing w:lineRule="auto" w:line="252" w:before="0" w:after="20"/>
              <w:jc w:val="center"/>
            </w:pPr>
            <w:r>
              <w:rPr>
                <w:rFonts w:ascii="Times New Roman" w:hAnsi="Times New Roman"/>
                <w:b/>
                <w:sz w:val="26"/>
              </w:rPr>
              <w:t>VĂN PHÒNG</w:t>
            </w:r>
          </w:p>
          <w:p>
            <w:pPr>
              <w:spacing w:lineRule="auto" w:line="240" w:before="0" w:after="40"/>
              <w:jc w:val="center"/>
            </w:pPr>
            <w:r>
              <w:rPr>
                <w:rFonts w:ascii="Times New Roman" w:hAnsi="Times New Roman"/>
                <w:b/>
                <w:sz w:val="24"/>
              </w:rPr>
              <w:t>*</w:t>
            </w:r>
          </w:p>
          <w:p>
            <w:pPr>
              <w:spacing w:lineRule="auto" w:line="252" w:before="0" w:after="60"/>
              <w:jc w:val="center"/>
            </w:pPr>
            <w:r>
              <w:rPr>
                <w:rFonts w:ascii="Times New Roman" w:hAnsi="Times New Roman"/>
                <w:sz w:val="27"/>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86pt,0" strokecolor="#000000" strokeweight="0.75pt"/>
              </w:pict>
            </w:r>
          </w:p>
          <w:p>
            <w:pPr>
              <w:spacing w:lineRule="auto" w:line="252" w:before="0" w:after="0"/>
              <w:jc w:val="right"/>
            </w:pPr>
            <w:r>
              <w:rPr>
                <w:rFonts w:ascii="Times New Roman" w:hAnsi="Times New Roman"/>
                <w:i/>
                <w:sz w:val="27"/>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chùm dự thảo Thông báo Kết luận kiểm tra việc lãnh đạo, chỉ đạo triển khai thực hiện công tác phòng, chống tham nhũng, lãng phí, tiêu cực đối với 03 chi bộ trực thuộc</w:t>
      </w:r>
    </w:p>
    <w:p>
      <w:pPr>
        <w:spacing w:before="120" w:after="120" w:lineRule="exact" w:line="360"/>
        <w:ind w:left="0" w:right="0" w:firstLine="567"/>
        <w:jc w:val="both"/>
      </w:pPr>
      <w:r>
        <w:rPr>
          <w:rFonts w:ascii="Times New Roman" w:hAnsi="Times New Roman"/>
          <w:b w:val="0"/>
          <w:i/>
          <w:color w:val="000000"/>
          <w:sz w:val="28"/>
        </w:rPr>
        <w:t>Căn cứ Quy chế làm việc số 01-QC/ĐU ngày 02/7/2025 của Ban Chấp hành Đảng bộ xã Công Hải khoá I, nhiệm kỳ 2025 - 2030;</w:t>
      </w:r>
    </w:p>
    <w:p>
      <w:pPr>
        <w:spacing w:before="120" w:after="120" w:lineRule="exact" w:line="360"/>
        <w:ind w:left="0" w:right="0" w:firstLine="567"/>
        <w:jc w:val="both"/>
      </w:pPr>
      <w:r>
        <w:rPr>
          <w:rFonts w:ascii="Times New Roman" w:hAnsi="Times New Roman"/>
          <w:b w:val="0"/>
          <w:i/>
          <w:color w:val="000000"/>
          <w:sz w:val="28"/>
        </w:rPr>
        <w:t>Thực hiện phân công của Thường trực Đảng uỷ, Văn phòng Đảng uỷ đã tiến hành thẩm định hồ sơ 03 dự thảo Thông báo Kết luận kiểm tra việc lãnh đạo, chỉ đạo triển khai thực hiện công tác phòng, chống tham nhũng, lãng phí, tiêu cực năm 2026 (đối với: Chi bộ thôn Suối Giếng, Chi bộ Trường Mẫu giáo Công Hải và Chi bộ Công an xã) do Đoàn kiểm tra Ban Thường vụ Đảng uỷ trình.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Đoàn kiểm tra Ban Thường vụ Đảng uỷ (Uỷ ban Kiểm tra Đảng uỷ chủ trì tham mưu).</w:t>
      </w:r>
    </w:p>
    <w:p>
      <w:pPr>
        <w:spacing w:before="120" w:after="120" w:lineRule="exact" w:line="360"/>
        <w:ind w:left="0" w:right="0" w:firstLine="567"/>
        <w:jc w:val="both"/>
      </w:pPr>
      <w:r>
        <w:rPr>
          <w:rFonts w:ascii="Times New Roman" w:hAnsi="Times New Roman"/>
          <w:b w:val="0"/>
          <w:i w:val="0"/>
          <w:color w:val="000000"/>
          <w:sz w:val="28"/>
        </w:rPr>
        <w:t>- Danh mục các văn bản dự thảo thẩm định:</w:t>
      </w:r>
    </w:p>
    <w:p>
      <w:pPr>
        <w:spacing w:before="120" w:after="120" w:lineRule="exact" w:line="360"/>
        <w:ind w:left="0" w:right="0" w:firstLine="567"/>
        <w:jc w:val="both"/>
      </w:pPr>
      <w:r>
        <w:rPr>
          <w:rFonts w:ascii="Times New Roman" w:hAnsi="Times New Roman"/>
          <w:b w:val="0"/>
          <w:i w:val="0"/>
          <w:color w:val="000000"/>
          <w:sz w:val="28"/>
        </w:rPr>
        <w:t>+ (1) Dự thảo Thông báo Kết luận kiểm tra đối với Chi bộ thôn Suối Giếng.</w:t>
      </w:r>
    </w:p>
    <w:p>
      <w:pPr>
        <w:spacing w:before="120" w:after="120" w:lineRule="exact" w:line="360"/>
        <w:ind w:left="0" w:right="0" w:firstLine="567"/>
        <w:jc w:val="both"/>
      </w:pPr>
      <w:r>
        <w:rPr>
          <w:rFonts w:ascii="Times New Roman" w:hAnsi="Times New Roman"/>
          <w:b w:val="0"/>
          <w:i w:val="0"/>
          <w:color w:val="000000"/>
          <w:sz w:val="28"/>
        </w:rPr>
        <w:t>+ (2) Dự thảo Thông báo Kết luận kiểm tra đối với Chi bộ Trường Mẫu giáo Công Hải.</w:t>
      </w:r>
    </w:p>
    <w:p>
      <w:pPr>
        <w:spacing w:before="120" w:after="120" w:lineRule="exact" w:line="360"/>
        <w:ind w:left="0" w:right="0" w:firstLine="567"/>
        <w:jc w:val="both"/>
      </w:pPr>
      <w:r>
        <w:rPr>
          <w:rFonts w:ascii="Times New Roman" w:hAnsi="Times New Roman"/>
          <w:b w:val="0"/>
          <w:i w:val="0"/>
          <w:color w:val="000000"/>
          <w:sz w:val="28"/>
        </w:rPr>
        <w:t>+ (3) Dự thảo Thông báo Kết luận kiểm tra đối với Chi bộ Công an xã.</w:t>
      </w:r>
    </w:p>
    <w:p>
      <w:pPr>
        <w:spacing w:before="120" w:after="120" w:lineRule="exact" w:line="360"/>
        <w:ind w:left="0" w:right="0" w:firstLine="567"/>
        <w:jc w:val="both"/>
      </w:pPr>
      <w:r>
        <w:rPr>
          <w:rFonts w:ascii="Times New Roman" w:hAnsi="Times New Roman"/>
          <w:b w:val="0"/>
          <w:i w:val="0"/>
          <w:color w:val="000000"/>
          <w:sz w:val="28"/>
        </w:rPr>
        <w:t>- Thể loại và thẩm quyền ban hành đề xuất: Thông báo kết luận của Ban Thường vụ Đảng uỷ (-TB/ĐU), do đồng chí Bí thư Đảng uỷ thay mặt Ban Thường vụ Đảng uỷ ký ban hành (T/M BAN THƯỜNG VỤ - BÍ THƯ).</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đề nghị ban hành kết luận kiểm tra; 03 bản dự thảo Thông báo Kết luận; các Báo cáo kết quả kiểm tra của Đoàn kiểm tra đối với từng chi bộ; các biên bản làm việc và tài liệu minh chứng liên quan.</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w:t>
      </w:r>
    </w:p>
    <w:p>
      <w:pPr>
        <w:spacing w:before="120" w:after="120" w:lineRule="exact" w:line="360"/>
        <w:ind w:left="0" w:right="0" w:firstLine="567"/>
        <w:jc w:val="both"/>
      </w:pPr>
      <w:r>
        <w:rPr>
          <w:rFonts w:ascii="Times New Roman" w:hAnsi="Times New Roman"/>
          <w:b w:val="0"/>
          <w:i w:val="0"/>
          <w:color w:val="000000"/>
          <w:sz w:val="28"/>
        </w:rPr>
        <w:t>Tuy nhiên, đề nghị cơ quan tham mưu soạn thảo rút kinh nghiệm một số hạn chế mang tính hệ thống trong kỹ thuật trình bày của cả 03 dự thảo ban đầu như sau:</w:t>
      </w:r>
    </w:p>
    <w:p>
      <w:pPr>
        <w:spacing w:before="120" w:after="120" w:lineRule="exact" w:line="360"/>
        <w:ind w:left="0" w:right="0" w:firstLine="567"/>
        <w:jc w:val="both"/>
      </w:pPr>
      <w:r>
        <w:rPr>
          <w:rFonts w:ascii="Times New Roman" w:hAnsi="Times New Roman"/>
          <w:b w:val="0"/>
          <w:i w:val="0"/>
          <w:color w:val="000000"/>
          <w:sz w:val="28"/>
        </w:rPr>
        <w:t>- Về chính tả khối Đảng: Cả 03 văn bản đều mắc lỗi đặt dấu thanh chưa chuẩn theo phong cách chính luận Đảng (ghi 'HÒA', 'ỦY', 'Thùy' thay vì 'HOÀ', 'UỶ', 'Thuỳ'). Văn phòng Đảng uỷ đã chuẩn hóa thống nhất toàn bộ.</w:t>
      </w:r>
    </w:p>
    <w:p>
      <w:pPr>
        <w:spacing w:before="120" w:after="120" w:lineRule="exact" w:line="360"/>
        <w:ind w:left="0" w:right="0" w:firstLine="567"/>
        <w:jc w:val="both"/>
      </w:pPr>
      <w:r>
        <w:rPr>
          <w:rFonts w:ascii="Times New Roman" w:hAnsi="Times New Roman"/>
          <w:b w:val="0"/>
          <w:i w:val="0"/>
          <w:color w:val="000000"/>
          <w:sz w:val="28"/>
        </w:rPr>
        <w:t>- Về khối Header và Tiêu đề: Khối tiêu ngữ bên phải thiếu đường kẻ ngang nét liền chuẩn (chiều dài 186pt, độ dày 3/4pt); phần trích yếu bị phân cắt dòng rời rạc và sử dụng đường gạch nối ('-----') không đúng quy cách thể loại Thông báo. Văn phòng Đảng uỷ đã chuẩn hóa tiêu đề và trích yếu cân đối, trang trọng.</w:t>
      </w:r>
    </w:p>
    <w:p>
      <w:pPr>
        <w:spacing w:before="120" w:after="120" w:lineRule="exact" w:line="360"/>
        <w:ind w:left="0" w:right="0" w:firstLine="567"/>
        <w:jc w:val="both"/>
      </w:pPr>
      <w:r>
        <w:rPr>
          <w:rFonts w:ascii="Times New Roman" w:hAnsi="Times New Roman"/>
          <w:b w:val="0"/>
          <w:i w:val="0"/>
          <w:color w:val="000000"/>
          <w:sz w:val="28"/>
        </w:rPr>
        <w:t>- Về định dạng đoạn văn bản (Paragraph Spacing): Các đoạn thân bài chưa áp dụng đúng thông số bắt buộc của Đảng uỷ xã (Before 6pt, After 6pt, Line spacing Exactly 18pt); mức thụt lề đầu dòng chưa đồng bộ (đoạn thụt 10mm, đoạn 12.7mm, đoạn không thụt lề). Văn phòng Đảng uỷ đã căn chỉnh đồng nhất thụt đầu dòng đúng 1cm (10mm) cho toàn bộ các đoạn và đề mục.</w:t>
      </w:r>
    </w:p>
    <w:p>
      <w:pPr>
        <w:spacing w:before="120" w:after="120" w:lineRule="exact" w:line="360"/>
        <w:ind w:left="0" w:right="0" w:firstLine="567"/>
        <w:jc w:val="both"/>
      </w:pPr>
      <w:r>
        <w:rPr>
          <w:rFonts w:ascii="Times New Roman" w:hAnsi="Times New Roman"/>
          <w:b w:val="0"/>
          <w:i w:val="0"/>
          <w:color w:val="000000"/>
          <w:sz w:val="28"/>
        </w:rPr>
        <w:t>- Về quy chuẩn in đậm chỉ mục: Các dấu gạch đầu dòng ('-') tại phần yêu cầu bị bôi đậm sai quy chuẩn Cấp 4 của Hướng dẫn số 05-HD/VPTW; cụm từ mốc thời gian ('trước ngày 30/11/2026') chưa thống nhất quy cách bôi đậm. Văn phòng Đảng uỷ đã chuẩn hóa các dấu gạch đầu dòng in thường đứng và cụm mốc thời gian in đứng đậm theo đúng quy định.</w:t>
      </w:r>
    </w:p>
    <w:p>
      <w:pPr>
        <w:spacing w:before="120" w:after="120" w:lineRule="exact" w:line="360"/>
        <w:ind w:left="0" w:right="0" w:firstLine="567"/>
        <w:jc w:val="both"/>
      </w:pPr>
      <w:r>
        <w:rPr>
          <w:rFonts w:ascii="Times New Roman" w:hAnsi="Times New Roman"/>
          <w:b w:val="0"/>
          <w:i w:val="0"/>
          <w:color w:val="000000"/>
          <w:sz w:val="28"/>
        </w:rPr>
        <w:t>- Về khối Footer: Khoảng cách từ chức danh ký ('BÍ THƯ') đến họ tên người ký chưa chuẩn 5 dòng cỡ 14pt; văn bản còn tồn tại bảng rỗng thừa ở cuối trang; phần Nơi nhận dùng dấu chấm phẩy ngăn cách giữa VPĐU và HSKT chưa chuẩn và thiếu ký hiệu biên soạn (TB-2026). Văn phòng Đảng uỷ đã hoàn thiện chuẩn xác toàn bộ khối chân trang.</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p>
    <w:p>
      <w:pPr>
        <w:spacing w:before="120" w:after="120" w:lineRule="exact" w:line="360"/>
        <w:ind w:left="0" w:right="0" w:firstLine="567"/>
        <w:jc w:val="both"/>
      </w:pPr>
      <w:r>
        <w:rPr>
          <w:rFonts w:ascii="Times New Roman" w:hAnsi="Times New Roman"/>
          <w:b w:val="0"/>
          <w:i w:val="0"/>
          <w:color w:val="000000"/>
          <w:sz w:val="28"/>
        </w:rPr>
        <w:t>- Về căn cứ pháp lý và quy trình kiểm tra (Chung cả 03 văn bản): Cả 03 dự thảo chỉ ghi chung chung 'Thực hiện Chương trình kiểm tra, giám sát năm 2026, Ban Thường vụ Đảng ủy đã tiến hành kiểm tra...' mà chưa viện dẫn đầy đủ các căn cứ có tính pháp lý bắt buộc: Quyết định thành lập Đoàn kiểm tra, Kế hoạch kiểm tra, Báo cáo kết quả kiểm tra của Đoàn kiểm tra, và phiên họp của Ban Thường vụ Đảng uỷ xem xét kết luận. Cần bổ sung đồng bộ để bảo đảm giá trị pháp lý chặt chẽ.</w:t>
      </w:r>
    </w:p>
    <w:p>
      <w:pPr>
        <w:spacing w:before="120" w:after="120" w:lineRule="exact" w:line="360"/>
        <w:ind w:left="0" w:right="0" w:firstLine="567"/>
        <w:jc w:val="both"/>
      </w:pPr>
      <w:r>
        <w:rPr>
          <w:rFonts w:ascii="Times New Roman" w:hAnsi="Times New Roman"/>
          <w:b w:val="0"/>
          <w:i w:val="0"/>
          <w:color w:val="000000"/>
          <w:sz w:val="28"/>
        </w:rPr>
        <w:t>- Đối với dự thảo kết luận Chi bộ thôn Suối Giếng (Khối thôn dân cư sau sáp nhập):</w:t>
      </w:r>
    </w:p>
    <w:p>
      <w:pPr>
        <w:spacing w:before="120" w:after="120" w:lineRule="exact" w:line="360"/>
        <w:ind w:left="0" w:right="0" w:firstLine="567"/>
        <w:jc w:val="both"/>
      </w:pPr>
      <w:r>
        <w:rPr>
          <w:rFonts w:ascii="Times New Roman" w:hAnsi="Times New Roman"/>
          <w:b w:val="0"/>
          <w:i w:val="0"/>
          <w:color w:val="000000"/>
          <w:sz w:val="28"/>
        </w:rPr>
        <w:t>+ Về tính chất khuyết điểm: Kết quả kiểm tra chỉ ra nhiều tồn tại rất nghiêm trọng (chưa ban hành Quy chế làm việc; chưa có Quy chế chi tiêu nội bộ; việc thu nộp đảng phí chưa đúng quy định; việc bàn giao hồ sơ, tài chính, tài sản sau sáp nhập chưa đầy đủ; chưa khắc phục xong Thông báo số 20-TB/UBKTĐU ngày 29/4/2026 của UBKT Đảng uỷ). Do đó, phần đánh giá ưu điểm cần diễn đạt thận trọng, khách quan, tránh khẳng định 'người đứng đầu phát huy tốt trách nhiệm' trong khi khuyết điểm buông lỏng quản lý, chậm bàn giao sau sáp nhập rất rõ.</w:t>
      </w:r>
    </w:p>
    <w:p>
      <w:pPr>
        <w:spacing w:before="120" w:after="120" w:lineRule="exact" w:line="360"/>
        <w:ind w:left="0" w:right="0" w:firstLine="567"/>
        <w:jc w:val="both"/>
      </w:pPr>
      <w:r>
        <w:rPr>
          <w:rFonts w:ascii="Times New Roman" w:hAnsi="Times New Roman"/>
          <w:b w:val="0"/>
          <w:i w:val="0"/>
          <w:color w:val="000000"/>
          <w:sz w:val="28"/>
        </w:rPr>
        <w:t>+ Về phân kỳ tiến độ: Cần phân kỳ thời hạn thực hiện: yêu cầu hoàn thành dứt điểm bàn giao tài chính, tài sản và ban hành Quy chế làm việc trước ngày 31/10/2026; báo cáo toàn diện kết quả khắc phục trước ngày 30/11/2026.</w:t>
      </w:r>
    </w:p>
    <w:p>
      <w:pPr>
        <w:spacing w:before="120" w:after="120" w:lineRule="exact" w:line="360"/>
        <w:ind w:left="0" w:right="0" w:firstLine="567"/>
        <w:jc w:val="both"/>
      </w:pPr>
      <w:r>
        <w:rPr>
          <w:rFonts w:ascii="Times New Roman" w:hAnsi="Times New Roman"/>
          <w:b w:val="0"/>
          <w:i w:val="0"/>
          <w:color w:val="000000"/>
          <w:sz w:val="28"/>
        </w:rPr>
        <w:t>- Đối với dự thảo kết luận Chi bộ Trường Mẫu giáo Công Hải (Khối đơn vị sự nghiệp giáo dục sau sáp nhập):</w:t>
      </w:r>
    </w:p>
    <w:p>
      <w:pPr>
        <w:spacing w:before="120" w:after="120" w:lineRule="exact" w:line="360"/>
        <w:ind w:left="0" w:right="0" w:firstLine="567"/>
        <w:jc w:val="both"/>
      </w:pPr>
      <w:r>
        <w:rPr>
          <w:rFonts w:ascii="Times New Roman" w:hAnsi="Times New Roman"/>
          <w:b w:val="0"/>
          <w:i w:val="0"/>
          <w:color w:val="000000"/>
          <w:sz w:val="28"/>
        </w:rPr>
        <w:t>+ Phát hiện mâu thuẫn giữa Mục hạn chế và Mục yêu cầu: Tại Mục 2 (Hạn chế, tồn tại), dự thảo chỉ nêu 02 hạn chế (chưa cụ thể hóa văn bản và chưa có chuyên đề KTGS về PCTNLPTC), hoàn toàn không nhắc đến tồn tại về Quy chế làm việc, Quy chế chi tiêu nội bộ sau sáp nhập. Tuy nhiên, tại Mục 3 (Yêu cầu) lại yêu cầu chi bộ 'khẩn trương rà soát, hoàn thiện Quy chế làm việc, Quy chế chi tiêu nội bộ sau sáp nhập' và 'công khai tài chính, tài sản'. Cơ quan soạn thảo cần làm rõ: Nếu chi bộ có hạn chế này thì phải bổ sung vào Mục 2; nếu không có thì phải lược bỏ yêu cầu tại Mục 3 để bảo đảm tính chính xác, chặt chẽ.</w:t>
      </w:r>
    </w:p>
    <w:p>
      <w:pPr>
        <w:spacing w:before="120" w:after="120" w:lineRule="exact" w:line="360"/>
        <w:ind w:left="0" w:right="0" w:firstLine="567"/>
        <w:jc w:val="both"/>
      </w:pPr>
      <w:r>
        <w:rPr>
          <w:rFonts w:ascii="Times New Roman" w:hAnsi="Times New Roman"/>
          <w:b w:val="0"/>
          <w:i w:val="0"/>
          <w:color w:val="000000"/>
          <w:sz w:val="28"/>
        </w:rPr>
        <w:t>+ Về Nơi nhận: Cần bổ sung gửi UBND xã (cơ quan quản lý nhà nước về giáo dục mầm non và ngân sách trường học) và đồng chí Đảng uỷ viên phụ trách lĩnh vực văn hóa - xã hội/giáo dục.</w:t>
      </w:r>
    </w:p>
    <w:p>
      <w:pPr>
        <w:spacing w:before="120" w:after="120" w:lineRule="exact" w:line="360"/>
        <w:ind w:left="0" w:right="0" w:firstLine="567"/>
        <w:jc w:val="both"/>
      </w:pPr>
      <w:r>
        <w:rPr>
          <w:rFonts w:ascii="Times New Roman" w:hAnsi="Times New Roman"/>
          <w:b w:val="0"/>
          <w:i w:val="0"/>
          <w:color w:val="000000"/>
          <w:sz w:val="28"/>
        </w:rPr>
        <w:t>- Đối với dự thảo kết luận Chi bộ Công an xã (Khối lực lượng vũ trang):</w:t>
      </w:r>
    </w:p>
    <w:p>
      <w:pPr>
        <w:spacing w:before="120" w:after="120" w:lineRule="exact" w:line="360"/>
        <w:ind w:left="0" w:right="0" w:firstLine="567"/>
        <w:jc w:val="both"/>
      </w:pPr>
      <w:r>
        <w:rPr>
          <w:rFonts w:ascii="Times New Roman" w:hAnsi="Times New Roman"/>
          <w:b w:val="0"/>
          <w:i w:val="0"/>
          <w:color w:val="000000"/>
          <w:sz w:val="28"/>
        </w:rPr>
        <w:t>+ Về thuật ngữ chính trị - nghiệp vụ: Tại phần yêu cầu (P14), dự thảo ghi 'nâng cao nhận thức của cấp ủy, người đứng đầu, cán bộ, đảng viên và Nhân dân...' là sao chép máy móc từ chi bộ thôn sang, chưa phù hợp với tính chất quản lý nội bộ của lực lượng vũ trang. Cần chỉnh sửa chuẩn xác thành: 'nâng cao nhận thức của cấp uỷ, chỉ huy công an xã, cán bộ, chiến sĩ và đảng viên trong chi bộ'.</w:t>
      </w:r>
    </w:p>
    <w:p>
      <w:pPr>
        <w:spacing w:before="120" w:after="120" w:lineRule="exact" w:line="360"/>
        <w:ind w:left="0" w:right="0" w:firstLine="567"/>
        <w:jc w:val="both"/>
      </w:pPr>
      <w:r>
        <w:rPr>
          <w:rFonts w:ascii="Times New Roman" w:hAnsi="Times New Roman"/>
          <w:b w:val="0"/>
          <w:i w:val="0"/>
          <w:color w:val="000000"/>
          <w:sz w:val="28"/>
        </w:rPr>
        <w:t>+ Về lĩnh vực kiểm tra nhạy cảm: Cần chỉ rõ các lĩnh vực đặc thù có nguy cơ tiêu cực của Công an xã như đăng ký quản lý cư trú, xử lý vi phạm hành chính, quản lý tang vật, tiếp nhận tố giác tội phạm.</w:t>
      </w:r>
    </w:p>
    <w:p>
      <w:pPr>
        <w:spacing w:before="120" w:after="120" w:lineRule="exact" w:line="360"/>
        <w:ind w:left="0" w:right="0" w:firstLine="567"/>
        <w:jc w:val="both"/>
      </w:pPr>
      <w:r>
        <w:rPr>
          <w:rFonts w:ascii="Times New Roman" w:hAnsi="Times New Roman"/>
          <w:b w:val="0"/>
          <w:i w:val="0"/>
          <w:color w:val="000000"/>
          <w:sz w:val="28"/>
        </w:rPr>
        <w:t>+ Về Nơi nhận: Bổ sung gửi UBND xã (quản lý nhà nước) và đồng chí Đảng uỷ viên phụ trách Công an xã/khối nội chính.</w:t>
      </w:r>
    </w:p>
    <w:p>
      <w:pPr>
        <w:spacing w:before="120" w:after="120" w:lineRule="exact" w:line="360"/>
        <w:ind w:left="0" w:right="0" w:firstLine="567"/>
        <w:jc w:val="both"/>
      </w:pPr>
      <w:r>
        <w:rPr>
          <w:rFonts w:ascii="Times New Roman" w:hAnsi="Times New Roman"/>
          <w:b w:val="0"/>
          <w:i w:val="0"/>
          <w:color w:val="000000"/>
          <w:sz w:val="28"/>
        </w:rPr>
        <w:t>- Về phân công trách nhiệm tổ chức thực hiện theo nguyên tắc '5 Rõ' (Chung cả 03 văn bản): Cả 03 dự thảo đều thiếu phân công cụ thể cơ quan theo dõi, đôn đốc. Cần bổ sung phân công rõ: Giao Uỷ ban Kiểm tra Đảng uỷ chủ trì đôn đốc, giám sát việc khắc phục sau kiểm tra; giao Ban Xây dựng Đảng hướng dẫn hoàn thiện Quy chế làm việc, chấn chỉnh nộp đảng phí; giao các đồng chí Đảng uỷ viên phụ trách địa bàn/đơn vị trực tiếp chỉ đạo, giám sát.</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 xem xét, chỉ đạo một số nội dung sau:</w:t>
      </w:r>
    </w:p>
    <w:p>
      <w:pPr>
        <w:spacing w:before="120" w:after="120" w:lineRule="exact" w:line="360"/>
        <w:ind w:left="0" w:right="0" w:firstLine="567"/>
        <w:jc w:val="both"/>
      </w:pPr>
      <w:r>
        <w:rPr>
          <w:rFonts w:ascii="Times New Roman" w:hAnsi="Times New Roman"/>
          <w:b/>
          <w:i w:val="0"/>
          <w:color w:val="000000"/>
          <w:sz w:val="28"/>
        </w:rPr>
        <w:t xml:space="preserve">1. Đối với thể thức văn bản: </w:t>
      </w:r>
      <w:r>
        <w:rPr>
          <w:rFonts w:ascii="Times New Roman" w:hAnsi="Times New Roman"/>
          <w:b w:val="0"/>
          <w:i w:val="0"/>
          <w:color w:val="000000"/>
          <w:sz w:val="28"/>
        </w:rPr>
        <w:t>Thống nhất thông qua cả 03 bản dự thảo Thông báo Kết luận kiểm tra đã được Văn phòng Đảng uỷ trực tiếp rà soát, chỉnh sửa, chuẩn hóa kỹ thuật toàn diện theo Hướng dẫn số 05-HD/VPTW ngày 12/01/2026 của Văn phòng Trung ương Đảng.</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Đoàn kiểm tra / Uỷ ban Kiểm tra Đảng uỷ:</w:t>
      </w:r>
    </w:p>
    <w:p>
      <w:pPr>
        <w:spacing w:before="120" w:after="120" w:lineRule="exact" w:line="360"/>
        <w:ind w:left="0" w:right="0" w:firstLine="567"/>
        <w:jc w:val="both"/>
      </w:pPr>
      <w:r>
        <w:rPr>
          <w:rFonts w:ascii="Times New Roman" w:hAnsi="Times New Roman"/>
          <w:b w:val="0"/>
          <w:i w:val="0"/>
          <w:color w:val="000000"/>
          <w:sz w:val="28"/>
        </w:rPr>
        <w:t>- Bổ sung đầy đủ căn cứ pháp lý (Quyết định thành lập đoàn kiểm tra, Kế hoạch kiểm tra, Báo cáo kết quả kiểm tra và ngày họp BTV Đảng uỷ) cho cả 03 văn bản.</w:t>
      </w:r>
    </w:p>
    <w:p>
      <w:pPr>
        <w:spacing w:before="120" w:after="120" w:lineRule="exact" w:line="360"/>
        <w:ind w:left="0" w:right="0" w:firstLine="567"/>
        <w:jc w:val="both"/>
      </w:pPr>
      <w:r>
        <w:rPr>
          <w:rFonts w:ascii="Times New Roman" w:hAnsi="Times New Roman"/>
          <w:b w:val="0"/>
          <w:i w:val="0"/>
          <w:color w:val="000000"/>
          <w:sz w:val="28"/>
        </w:rPr>
        <w:t>- Chỉnh lý nội dung từng văn bản theo kết quả thẩm định:</w:t>
      </w:r>
    </w:p>
    <w:p>
      <w:pPr>
        <w:spacing w:before="120" w:after="120" w:lineRule="exact" w:line="360"/>
        <w:ind w:left="0" w:right="0" w:firstLine="567"/>
        <w:jc w:val="both"/>
      </w:pPr>
      <w:r>
        <w:rPr>
          <w:rFonts w:ascii="Times New Roman" w:hAnsi="Times New Roman"/>
          <w:b w:val="0"/>
          <w:i w:val="0"/>
          <w:color w:val="000000"/>
          <w:sz w:val="28"/>
        </w:rPr>
        <w:t>+ Đối với Chi bộ thôn Suối Giếng: Chuẩn hóa phần đánh giá ưu điểm cho khách quan; phân kỳ thời hạn hoàn thành bàn giao tài chính tài sản trước ngày 31/10/2026; báo cáo toàn diện trước ngày 30/11/2026; bổ sung nơi nhận Ban Xây dựng Đảng và ĐUV phụ trách thôn.</w:t>
      </w:r>
    </w:p>
    <w:p>
      <w:pPr>
        <w:spacing w:before="120" w:after="120" w:lineRule="exact" w:line="360"/>
        <w:ind w:left="0" w:right="0" w:firstLine="567"/>
        <w:jc w:val="both"/>
      </w:pPr>
      <w:r>
        <w:rPr>
          <w:rFonts w:ascii="Times New Roman" w:hAnsi="Times New Roman"/>
          <w:b w:val="0"/>
          <w:i w:val="0"/>
          <w:color w:val="000000"/>
          <w:sz w:val="28"/>
        </w:rPr>
        <w:t>+ Đối với Chi bộ Trường Mẫu giáo: Làm rõ tính thống nhất giữa mục Hạn chế và mục Yêu cầu về Quy chế làm việc, chi tiêu nội bộ sau sáp nhập; bổ sung nơi nhận UBND xã và ĐUV phụ trách trường.</w:t>
      </w:r>
    </w:p>
    <w:p>
      <w:pPr>
        <w:spacing w:before="120" w:after="120" w:lineRule="exact" w:line="360"/>
        <w:ind w:left="0" w:right="0" w:firstLine="567"/>
        <w:jc w:val="both"/>
      </w:pPr>
      <w:r>
        <w:rPr>
          <w:rFonts w:ascii="Times New Roman" w:hAnsi="Times New Roman"/>
          <w:b w:val="0"/>
          <w:i w:val="0"/>
          <w:color w:val="000000"/>
          <w:sz w:val="28"/>
        </w:rPr>
        <w:t>+ Đối với Chi bộ Công an xã: Chuẩn hóa thuật ngữ phù hợp lực lượng vũ trang; làm rõ các lĩnh vực nhạy cảm cần tự kiểm tra; bổ sung nơi nhận UBND xã và ĐUV phụ trách đơn vị.</w:t>
      </w:r>
    </w:p>
    <w:p>
      <w:pPr>
        <w:spacing w:before="120" w:after="120" w:lineRule="exact" w:line="360"/>
        <w:ind w:left="0" w:right="0" w:firstLine="567"/>
        <w:jc w:val="both"/>
      </w:pPr>
      <w:r>
        <w:rPr>
          <w:rFonts w:ascii="Times New Roman" w:hAnsi="Times New Roman"/>
          <w:b w:val="0"/>
          <w:i w:val="0"/>
          <w:color w:val="000000"/>
          <w:sz w:val="28"/>
        </w:rPr>
        <w:t>- Bổ sung mục Tổ chức thực hiện theo nguyên tắc '5 Rõ' cho cả 03 văn bản (giao UBKT Đảng uỷ chủ trì đôn đốc; giao Ban Xây dựng Đảng hướng dẫn; giao ĐUV phụ trách trực tiếp chỉ đạo).</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Kính đề nghị Thường trực Đảng uỷ xem xét, thống nhất các nội dung hoàn thiện trên để chỉ đạo xuất bản chính thức, trình đồng chí Bí thư Đảng uỷ ký ban hành đồng bộ 03 Thông báo Kết luận kiểm tra./.</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Uỷ ban Kiểm tra Đảng uỷ;</w:t>
            </w:r>
          </w:p>
          <w:p>
            <w:pPr>
              <w:spacing w:lineRule="auto" w:line="252" w:before="0" w:after="20"/>
              <w:jc w:val="left"/>
            </w:pPr>
            <w:r>
              <w:rPr>
                <w:rFonts w:ascii="Times New Roman" w:hAnsi="Times New Roman"/>
                <w:sz w:val="24"/>
              </w:rPr>
              <w:t>- Lưu VPĐU (BC-2026).</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