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BỘ TỈNH KHÁNH HOÀ</w:t>
            </w:r>
          </w:p>
          <w:p>
            <w:pPr>
              <w:spacing w:lineRule="auto" w:line="252" w:before="0" w:after="20"/>
              <w:jc w:val="center"/>
            </w:pPr>
            <w:r>
              <w:rPr>
                <w:rFonts w:ascii="Times New Roman" w:hAnsi="Times New Roman"/>
                <w:b/>
                <w:sz w:val="28"/>
              </w:rPr>
              <w:t>ĐẢNG UỶ XÃ CÔNG HẢI</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-BC/ĐU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10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công tác lãnh đạo, chỉ đạo và kết quả triển khai thực hiện các văn bản về công tác nội chính Đảng (từ ngày 01/01/2026 đến ngày 30/9/2026)</w:t>
      </w:r>
    </w:p>
    <w:p>
      <w:pPr>
        <w:spacing w:before="120" w:after="120" w:lineRule="exact" w:line="360"/>
        <w:ind w:left="0" w:right="0" w:firstLine="567"/>
        <w:jc w:val="both"/>
      </w:pPr>
      <w:r>
        <w:rPr>
          <w:rFonts w:ascii="Times New Roman" w:hAnsi="Times New Roman"/>
          <w:b w:val="0"/>
          <w:i/>
          <w:color w:val="000000"/>
          <w:sz w:val="28"/>
        </w:rPr>
        <w:t>Thực hiện Kế hoạch số 31-KH/BNCTU ngày 05/10/2026 của Ban Nội chính Tỉnh uỷ về giám sát công tác lãnh đạo, chỉ đạo và triển khai thực hiện các văn bản về công tác nội chính Đảng; Ban Thường vụ Đảng uỷ xã Công Hải báo cáo kết quả thực hiện như sau:</w:t>
      </w:r>
    </w:p>
    <w:p>
      <w:pPr>
        <w:spacing w:before="120" w:after="120" w:lineRule="exact" w:line="360"/>
        <w:ind w:left="0" w:right="0" w:firstLine="567"/>
        <w:jc w:val="both"/>
      </w:pPr>
      <w:r>
        <w:rPr>
          <w:rFonts w:ascii="Times New Roman" w:hAnsi="Times New Roman"/>
          <w:b/>
          <w:i w:val="0"/>
          <w:color w:val="000000"/>
          <w:sz w:val="28"/>
        </w:rPr>
        <w:t>I. KHÁI QUÁT ĐẶC ĐIỂM, TÌNH HÌNH</w:t>
      </w:r>
    </w:p>
    <w:p>
      <w:pPr>
        <w:spacing w:before="120" w:after="120" w:lineRule="exact" w:line="360"/>
        <w:ind w:left="0" w:right="0" w:firstLine="567"/>
        <w:jc w:val="both"/>
      </w:pPr>
      <w:r>
        <w:rPr>
          <w:rFonts w:ascii="Times New Roman" w:hAnsi="Times New Roman"/>
          <w:b w:val="0"/>
          <w:i w:val="0"/>
          <w:color w:val="000000"/>
          <w:sz w:val="28"/>
        </w:rPr>
        <w:t>Xã Công Hải được thành lập trên cơ sở sáp nhập 02 xã Công Hải và xã Phước Chiến (thuộc huyện Thuận Bắc cũ), với quy mô diện tích 12.429,43 ha, 08 thôn, 14.909 nhân khẩu tính đến ngày 30/9/2026 (đồng bào dân tộc thiểu số Raglai chiếm 78,18%), tỷ lệ hộ nghèo và cận nghèo chiếm lần lượt 2,77% và 11,61%. Về phát triển kinh tế - xã hội, quốc phòng - an ninh, địa phương giữ vị trí chiến lược quan trọng ở khu vực phía Nam tỉnh Khánh Hoà với nhiều tiềm năng, lợi thế về kinh tế biển, du lịch, năng lượng tái tạo; quốc phòng - an ninh được giữ vững, đời sống Nhân dân từng bước được cải thiện.</w:t>
      </w:r>
    </w:p>
    <w:p>
      <w:pPr>
        <w:spacing w:before="120" w:after="120" w:lineRule="exact" w:line="360"/>
        <w:ind w:left="0" w:right="0" w:firstLine="567"/>
        <w:jc w:val="both"/>
      </w:pPr>
      <w:r>
        <w:rPr>
          <w:rFonts w:ascii="Times New Roman" w:hAnsi="Times New Roman"/>
          <w:b w:val="0"/>
          <w:i w:val="0"/>
          <w:color w:val="000000"/>
          <w:sz w:val="28"/>
        </w:rPr>
        <w:t>Quá trình triển khai công tác phòng, chống tham nhũng, lãng phí, tiêu cực, bảo đảm an ninh, trật tự, tiếp công dân và giải quyết khiếu nại, tố cáo trên địa bàn diễn ra trong bối cảnh có những thuận lợi cơ bản nhờ sự lãnh đạo, chỉ đạo sâu sát của Tỉnh uỷ, sự củng cố đồng bộ của hệ thống chính trị cơ sở và tinh thần đoàn kết, tin tưởng của Nhân dân vào mô hình tổ chức chính quyền địa phương 02 cấp mới. Tuy nhiên, địa phương cũng gặp không ít khó khăn do địa bàn rộng, địa hình phức tạp, trình độ dân trí và nhận thức pháp luật của một bộ phận người dân chưa đồng đều; cùng với đó, khối lượng công việc phát sinh lớn sau sáp nhập, nhất là trong quản lý đất đai, giải quyết thủ tục hành chính và chế độ an sinh xã hội, đã gây áp lực không nhỏ, tiềm ẩn nguy cơ phát sinh sai sót trong thi hành công vụ và làm phát sinh các mâu thuẫn, đơn thư phản ánh tại cơ sở.</w:t>
      </w:r>
    </w:p>
    <w:p>
      <w:pPr>
        <w:spacing w:before="120" w:after="120" w:lineRule="exact" w:line="360"/>
        <w:ind w:left="0" w:right="0" w:firstLine="567"/>
        <w:jc w:val="both"/>
      </w:pPr>
      <w:r>
        <w:rPr>
          <w:rFonts w:ascii="Times New Roman" w:hAnsi="Times New Roman"/>
          <w:b/>
          <w:i w:val="0"/>
          <w:color w:val="000000"/>
          <w:sz w:val="28"/>
        </w:rPr>
        <w:t>II. NỘI DUNG GIÁM SÁT</w:t>
      </w:r>
    </w:p>
    <w:p>
      <w:pPr>
        <w:spacing w:before="120" w:after="120" w:lineRule="exact" w:line="360"/>
        <w:ind w:left="0" w:right="0" w:firstLine="567"/>
        <w:jc w:val="both"/>
      </w:pPr>
      <w:r>
        <w:rPr>
          <w:rFonts w:ascii="Times New Roman" w:hAnsi="Times New Roman"/>
          <w:b w:val="0"/>
          <w:i w:val="0"/>
          <w:color w:val="000000"/>
          <w:sz w:val="28"/>
        </w:rPr>
        <w:t>Phần thứ nhất: KẾT QUẢ THỰC HIỆN KẾ HOẠCH SỐ 83-KH/TU NGÀY 12/6/2026 CỦA BAN THƯỜNG VỤ TỈNH UỶ VỀ PHÒNG, CHỐNG THAM NHŨNG, LÃNG PHÍ, TIÊU CỰC</w:t>
      </w:r>
    </w:p>
    <w:p>
      <w:pPr>
        <w:spacing w:before="120" w:after="120" w:lineRule="exact" w:line="360"/>
        <w:ind w:left="0" w:right="0" w:firstLine="567"/>
        <w:jc w:val="both"/>
      </w:pPr>
      <w:r>
        <w:rPr>
          <w:rFonts w:ascii="Times New Roman" w:hAnsi="Times New Roman"/>
          <w:b/>
          <w:i w:val="0"/>
          <w:color w:val="000000"/>
          <w:sz w:val="28"/>
        </w:rPr>
        <w:t xml:space="preserve">1. Công tác lãnh đạo, chỉ đạo: </w:t>
      </w:r>
    </w:p>
    <w:p>
      <w:pPr>
        <w:spacing w:before="120" w:after="120" w:lineRule="exact" w:line="360"/>
        <w:ind w:left="0" w:right="0" w:firstLine="567"/>
        <w:jc w:val="both"/>
      </w:pPr>
      <w:r>
        <w:rPr>
          <w:rFonts w:ascii="Times New Roman" w:hAnsi="Times New Roman"/>
          <w:b/>
          <w:i w:val="0"/>
          <w:color w:val="000000"/>
          <w:sz w:val="28"/>
        </w:rPr>
        <w:t>1.1. Việc quán triệt, tuyên truyền, phổ biến Nghị quyết số 04-NQ/TW, Kế hoạch số 03-KH/TW của Bộ Chính trị và Kế hoạch số 83-KH/TU của Ban Thường vụ Tỉnh uỷ:</w:t>
      </w:r>
      <w:r>
        <w:rPr>
          <w:rFonts w:ascii="Times New Roman" w:hAnsi="Times New Roman"/>
          <w:b w:val="0"/>
          <w:i w:val="0"/>
          <w:color w:val="000000"/>
          <w:sz w:val="28"/>
        </w:rPr>
        <w:t xml:space="preserve"> Đảng uỷ đã ban hành và triển khai Kế hoạch số 60-KH/ĐU ngày 16/4/2026 về việc nghiên cứu, học tập, quán triệt và triển khai thực hiện Nghị quyết Hội nghị lần thứ hai Ban Chấp hành Trung ương Đảng khoá XIV. Đảng uỷ xã đã tổ chức kết nối điểm cầu địa phương trực tiếp với điểm cầu Tỉnh uỷ, thu hút 95 cán bộ, đảng viên tham gia học tập nghiêm túc. Đội ngũ cán bộ, đảng viên, nhất là người đứng đầu, luôn đề cao tinh thần trách nhiệm, siết chặt kỷ luật, kỷ cương, giữ gìn phẩm chất đạo đức công vụ; công tác tuyên truyền được lồng ghép hiệu quả trong sinh hoạt chi bộ và các đoàn thể.</w:t>
      </w:r>
    </w:p>
    <w:p>
      <w:pPr>
        <w:spacing w:before="120" w:after="120" w:lineRule="exact" w:line="360"/>
        <w:ind w:left="0" w:right="0" w:firstLine="567"/>
        <w:jc w:val="both"/>
      </w:pPr>
      <w:r>
        <w:rPr>
          <w:rFonts w:ascii="Times New Roman" w:hAnsi="Times New Roman"/>
          <w:b/>
          <w:i w:val="0"/>
          <w:color w:val="000000"/>
          <w:sz w:val="28"/>
        </w:rPr>
        <w:t xml:space="preserve">1. 2. Việc cụ thể hoá thành kế hoạch, văn bản để lãnh đạo, chỉ đạo tổ chức thực hiện tại địa phương: </w:t>
      </w:r>
      <w:r>
        <w:rPr>
          <w:rFonts w:ascii="Times New Roman" w:hAnsi="Times New Roman"/>
          <w:b w:val="0"/>
          <w:i w:val="0"/>
          <w:color w:val="000000"/>
          <w:sz w:val="28"/>
        </w:rPr>
        <w:t>Ban Thường vụ Đảng uỷ xã đã ban hành Kế hoạch số 111-KH/ĐU ngày 04/8/2026 nhằm triển khai thực hiện Nghị quyết Hội nghị lần thứ hai Ban Chấp hành Trung ương Đảng khoá XIV, xác định 08 nhóm nhiệm vụ trọng tâm và 13 nhóm nhiệm vụ cụ thể. Đảng uỷ quán triệt nghiêm túc phương châm 'rõ người, rõ việc, rõ thời gian, rõ trách nhiệm, rõ thẩm quyền, rõ kết quả', tập trung vào các khâu nhạy cảm như quản lý đất đai, tài chính ngân sách, đầu tư công, giải quyết thủ tục hành chính tại Trung tâm Phục vụ Hành chính công xã.</w:t>
      </w:r>
    </w:p>
    <w:p>
      <w:pPr>
        <w:spacing w:before="120" w:after="120" w:lineRule="exact" w:line="360"/>
        <w:ind w:left="0" w:right="0" w:firstLine="567"/>
        <w:jc w:val="both"/>
      </w:pPr>
      <w:r>
        <w:rPr>
          <w:rFonts w:ascii="Times New Roman" w:hAnsi="Times New Roman"/>
          <w:b/>
          <w:i w:val="0"/>
          <w:color w:val="000000"/>
          <w:sz w:val="28"/>
        </w:rPr>
        <w:t xml:space="preserve">1. 3. Công tác kiểm tra, giám sát, đôn đốc việc triển khai thực hiện: </w:t>
      </w:r>
      <w:r>
        <w:rPr>
          <w:rFonts w:ascii="Times New Roman" w:hAnsi="Times New Roman"/>
          <w:b w:val="0"/>
          <w:i w:val="0"/>
          <w:color w:val="000000"/>
          <w:sz w:val="28"/>
        </w:rPr>
        <w:t>Ban Thường vụ Đảng uỷ đã đưa nội dung phòng, chống tham nhũng, lãng phí, tiêu cực vào chương trình kiểm tra, giám sát của Ban Chấp hành Đảng bộ xã năm 2026; giao Văn phòng Đảng uỷ phối hợp với Ban Xây dựng Đảng, Uỷ ban Kiểm tra Đảng uỷ và UBND xã thường xuyên theo dõi, đôn đốc, kịp thời chấn chỉnh lề lối làm việc của đội ngũ cán bộ, công chức.</w:t>
      </w:r>
    </w:p>
    <w:p>
      <w:pPr>
        <w:spacing w:before="120" w:after="120" w:lineRule="exact" w:line="360"/>
        <w:ind w:left="0" w:right="0" w:firstLine="567"/>
        <w:jc w:val="both"/>
      </w:pPr>
      <w:r>
        <w:rPr>
          <w:rFonts w:ascii="Times New Roman" w:hAnsi="Times New Roman"/>
          <w:b/>
          <w:i w:val="0"/>
          <w:color w:val="000000"/>
          <w:sz w:val="28"/>
        </w:rPr>
        <w:t xml:space="preserve">2. Kết quả thực hiện các nhiệm vụ trọng tâm, nhiệm vụ cụ thể: </w:t>
      </w:r>
    </w:p>
    <w:p>
      <w:pPr>
        <w:spacing w:before="120" w:after="120" w:lineRule="exact" w:line="360"/>
        <w:ind w:left="0" w:right="0" w:firstLine="567"/>
        <w:jc w:val="both"/>
      </w:pPr>
      <w:r>
        <w:rPr>
          <w:rFonts w:ascii="Times New Roman" w:hAnsi="Times New Roman"/>
          <w:b/>
          <w:i w:val="0"/>
          <w:color w:val="000000"/>
          <w:sz w:val="28"/>
        </w:rPr>
        <w:t xml:space="preserve">2. 1. Trách nhiệm của cấp uỷ, tổ chức đảng, người đứng đầu: </w:t>
      </w:r>
      <w:r>
        <w:rPr>
          <w:rFonts w:ascii="Times New Roman" w:hAnsi="Times New Roman"/>
          <w:b w:val="0"/>
          <w:i w:val="0"/>
          <w:color w:val="000000"/>
          <w:sz w:val="28"/>
        </w:rPr>
        <w:t>Đảng uỷ đã chỉ đạo thực hiện nghiêm túc việc chuyển đổi vị trí công tác đối với 06 trường hợp theo đúng quy định. Trong kỳ báo cáo, chưa phát hiện trường hợp cán bộ, đảng viên vi phạm liên quan đến tham nhũng, lãng phí, tiêu cực; không có vụ việc phải xem xét, xử lý trách nhiệm người đứng đầu.</w:t>
      </w:r>
    </w:p>
    <w:p>
      <w:pPr>
        <w:spacing w:before="120" w:after="120" w:lineRule="exact" w:line="360"/>
        <w:ind w:left="0" w:right="0" w:firstLine="567"/>
        <w:jc w:val="both"/>
      </w:pPr>
      <w:r>
        <w:rPr>
          <w:rFonts w:ascii="Times New Roman" w:hAnsi="Times New Roman"/>
          <w:b/>
          <w:i w:val="0"/>
          <w:color w:val="000000"/>
          <w:sz w:val="28"/>
        </w:rPr>
        <w:t xml:space="preserve">2. 2. Kiểm tra, giám sát chuyên đề: </w:t>
      </w:r>
      <w:r>
        <w:rPr>
          <w:rFonts w:ascii="Times New Roman" w:hAnsi="Times New Roman"/>
          <w:b w:val="0"/>
          <w:i w:val="0"/>
          <w:color w:val="000000"/>
          <w:sz w:val="28"/>
        </w:rPr>
        <w:t>Ban Thường vụ Đảng uỷ đã tiến hành 01 cuộc kiểm tra đối với 03 tổ chức đảng theo Quyết định số 114-QĐ/ĐU ngày 06/8/2026; Uỷ ban Kiểm tra Đảng uỷ thực hiện 01 cuộc xác minh tài sản, thu nhập đối với 06 đồng chí theo Quyết định số 04-QĐ/UBKTĐU ngày 12/3/2026 (kết quả 100% kê khai trung thực); thực hiện 01 cuộc kiểm tra tài chính Đảng đối với 05 tổ chức đảng theo Quyết định số 06-QĐ/UBKTĐU ngày 21/7/2026 (đã chấn chỉnh công tác thu nộp đảng phí tại một số chi bộ thôn theo Quy định số 01-QĐ/TW).</w:t>
      </w:r>
    </w:p>
    <w:p>
      <w:pPr>
        <w:spacing w:before="120" w:after="120" w:lineRule="exact" w:line="360"/>
        <w:ind w:left="0" w:right="0" w:firstLine="567"/>
        <w:jc w:val="both"/>
      </w:pPr>
      <w:r>
        <w:rPr>
          <w:rFonts w:ascii="Times New Roman" w:hAnsi="Times New Roman"/>
          <w:b/>
          <w:i w:val="0"/>
          <w:color w:val="000000"/>
          <w:sz w:val="28"/>
        </w:rPr>
        <w:t xml:space="preserve">2. 3. Sửa đổi, bổ sung quy chế, quy chuẩn định mức chi tiêu: </w:t>
      </w:r>
      <w:r>
        <w:rPr>
          <w:rFonts w:ascii="Times New Roman" w:hAnsi="Times New Roman"/>
          <w:b w:val="0"/>
          <w:i w:val="0"/>
          <w:color w:val="000000"/>
          <w:sz w:val="28"/>
        </w:rPr>
        <w:t>Đảng uỷ đã lãnh đạo hoàn thiện hệ thống quy chế, quy trình công tác cán bộ; tăng cường công khai, minh bạch, kiểm soát chặt chẽ việc thực hiện chức trách công vụ, ngăn ngừa tiêu cực từ sớm, từ xa.</w:t>
      </w:r>
    </w:p>
    <w:p>
      <w:pPr>
        <w:spacing w:before="120" w:after="120" w:lineRule="exact" w:line="360"/>
        <w:ind w:left="0" w:right="0" w:firstLine="567"/>
        <w:jc w:val="both"/>
      </w:pPr>
      <w:r>
        <w:rPr>
          <w:rFonts w:ascii="Times New Roman" w:hAnsi="Times New Roman"/>
          <w:b/>
          <w:i w:val="0"/>
          <w:color w:val="000000"/>
          <w:sz w:val="28"/>
        </w:rPr>
        <w:t xml:space="preserve">2. 4. Rà soát văn bản quy phạm pháp luật và bảo vệ cán bộ năng động, sáng tạo: </w:t>
      </w:r>
      <w:r>
        <w:rPr>
          <w:rFonts w:ascii="Times New Roman" w:hAnsi="Times New Roman"/>
          <w:b w:val="0"/>
          <w:i w:val="0"/>
          <w:color w:val="000000"/>
          <w:sz w:val="28"/>
        </w:rPr>
        <w:t>UBND xã đã phối hợp rà soát các văn bản quản lý đất đai, đầu tư, xây dựng trên địa bàn, kịp thời báo cáo cấp có thẩm quyền tháo gỡ các vướng mắc phát sinh; đồng thời quán triệt thực hiện nghiêm Kết luận số 14-KL/TW về khuyến khích, bảo vệ cán bộ năng động, sáng tạo vì lợi ích chung.</w:t>
      </w:r>
    </w:p>
    <w:p>
      <w:pPr>
        <w:spacing w:before="120" w:after="120" w:lineRule="exact" w:line="360"/>
        <w:ind w:left="0" w:right="0" w:firstLine="567"/>
        <w:jc w:val="both"/>
      </w:pPr>
      <w:r>
        <w:rPr>
          <w:rFonts w:ascii="Times New Roman" w:hAnsi="Times New Roman"/>
          <w:b/>
          <w:i w:val="0"/>
          <w:color w:val="000000"/>
          <w:sz w:val="28"/>
        </w:rPr>
        <w:t xml:space="preserve">2. 5. Kiểm soát quyền lực trên các lĩnh vực: </w:t>
      </w:r>
      <w:r>
        <w:rPr>
          <w:rFonts w:ascii="Times New Roman" w:hAnsi="Times New Roman"/>
          <w:b w:val="0"/>
          <w:i w:val="0"/>
          <w:color w:val="000000"/>
          <w:sz w:val="28"/>
        </w:rPr>
        <w:t>Công tác cán bộ được thực hiện đúng quy trình, vị trí việc làm (hiện có 61/62 biên chế được giao); công tác quản lý tài sản công, đất công được chỉ đạo thực hiện chặt chẽ, không để xảy ra sai phạm, thất thoát.</w:t>
      </w:r>
    </w:p>
    <w:p>
      <w:pPr>
        <w:spacing w:before="120" w:after="120" w:lineRule="exact" w:line="360"/>
        <w:ind w:left="0" w:right="0" w:firstLine="567"/>
        <w:jc w:val="both"/>
      </w:pPr>
      <w:r>
        <w:rPr>
          <w:rFonts w:ascii="Times New Roman" w:hAnsi="Times New Roman"/>
          <w:b/>
          <w:i w:val="0"/>
          <w:color w:val="000000"/>
          <w:sz w:val="28"/>
        </w:rPr>
        <w:t xml:space="preserve">2. 6. Xử lý các vụ việc, vụ án tham nhũng, lãng phí: </w:t>
      </w:r>
      <w:r>
        <w:rPr>
          <w:rFonts w:ascii="Times New Roman" w:hAnsi="Times New Roman"/>
          <w:b w:val="0"/>
          <w:i w:val="0"/>
          <w:color w:val="000000"/>
          <w:sz w:val="28"/>
        </w:rPr>
        <w:t>Trên địa bàn xã trong kỳ báo cáo không phát sinh vụ việc, vụ án tham nhũng, lãng phí, tiêu cực.</w:t>
      </w:r>
    </w:p>
    <w:p>
      <w:pPr>
        <w:spacing w:before="120" w:after="120" w:lineRule="exact" w:line="360"/>
        <w:ind w:left="0" w:right="0" w:firstLine="567"/>
        <w:jc w:val="both"/>
      </w:pPr>
      <w:r>
        <w:rPr>
          <w:rFonts w:ascii="Times New Roman" w:hAnsi="Times New Roman"/>
          <w:b/>
          <w:i w:val="0"/>
          <w:color w:val="000000"/>
          <w:sz w:val="28"/>
        </w:rPr>
        <w:t xml:space="preserve">2. 7. Quản lý, sử dụng tài sản công, đất công, ngân sách: </w:t>
      </w:r>
      <w:r>
        <w:rPr>
          <w:rFonts w:ascii="Times New Roman" w:hAnsi="Times New Roman"/>
          <w:b w:val="0"/>
          <w:i w:val="0"/>
          <w:color w:val="000000"/>
          <w:sz w:val="28"/>
        </w:rPr>
        <w:t>Địa phương đã tiếp nhận và xử lý dứt điểm 02 cơ sở nhà đất dôi dư sau sáp nhập thuộc Phân trạm Y tế Phước Chiến (bàn giao cơ sở Đầu Suối A cho Phòng VH-XH quản lý; thanh lý tài sản cơ sở Ma Trai để mở rộng trường học). Trong quản lý ngân sách, đã thực hiện tiết kiệm chi ngay từ đầu năm và tiết kiệm thêm 5% chi thường xuyên theo Nghị quyết 135/NQ-CP số tiền 542 triệu đồng.</w:t>
      </w:r>
    </w:p>
    <w:p>
      <w:pPr>
        <w:spacing w:before="120" w:after="120" w:lineRule="exact" w:line="360"/>
        <w:ind w:left="0" w:right="0" w:firstLine="567"/>
        <w:jc w:val="both"/>
      </w:pPr>
      <w:r>
        <w:rPr>
          <w:rFonts w:ascii="Times New Roman" w:hAnsi="Times New Roman"/>
          <w:b/>
          <w:i w:val="0"/>
          <w:color w:val="000000"/>
          <w:sz w:val="28"/>
        </w:rPr>
        <w:t xml:space="preserve">2. 8. Giám sát của HĐND xã và giải quyết kiến nghị của cử tri: </w:t>
      </w:r>
      <w:r>
        <w:rPr>
          <w:rFonts w:ascii="Times New Roman" w:hAnsi="Times New Roman"/>
          <w:b w:val="0"/>
          <w:i w:val="0"/>
          <w:color w:val="000000"/>
          <w:sz w:val="28"/>
        </w:rPr>
        <w:t>HĐND xã đã triển khai giám sát chuyên đề về quản lý ngân sách, đất đai; tiếp nhận và chỉ đạo giải quyết cơ bản 51 ý kiến, kiến nghị của cử tri qua các đợt tiếp xúc cử tri.</w:t>
      </w:r>
    </w:p>
    <w:p>
      <w:pPr>
        <w:spacing w:before="120" w:after="120" w:lineRule="exact" w:line="360"/>
        <w:ind w:left="0" w:right="0" w:firstLine="567"/>
        <w:jc w:val="both"/>
      </w:pPr>
      <w:r>
        <w:rPr>
          <w:rFonts w:ascii="Times New Roman" w:hAnsi="Times New Roman"/>
          <w:b/>
          <w:i w:val="0"/>
          <w:color w:val="000000"/>
          <w:sz w:val="28"/>
        </w:rPr>
        <w:t xml:space="preserve">2. 9. Tuyên truyền, giáo dục và giám sát của MTTQ, các đoàn thể: </w:t>
      </w:r>
      <w:r>
        <w:rPr>
          <w:rFonts w:ascii="Times New Roman" w:hAnsi="Times New Roman"/>
          <w:b w:val="0"/>
          <w:i w:val="0"/>
          <w:color w:val="000000"/>
          <w:sz w:val="28"/>
        </w:rPr>
        <w:t>Uỷ ban MTTQVN xã và các tổ chức chính trị - xã hội đã phát huy tốt vai trò của Ban Thanh tra nhân dân, Ban Giám sát đầu tư của cộng đồng; tổ chức phản biện xã hội đối với các kế hoạch, đề án của địa phương.</w:t>
      </w:r>
    </w:p>
    <w:p>
      <w:pPr>
        <w:spacing w:before="120" w:after="120" w:lineRule="exact" w:line="360"/>
        <w:ind w:left="0" w:right="0" w:firstLine="567"/>
        <w:jc w:val="both"/>
      </w:pPr>
      <w:r>
        <w:rPr>
          <w:rFonts w:ascii="Times New Roman" w:hAnsi="Times New Roman"/>
          <w:b/>
          <w:i w:val="0"/>
          <w:color w:val="000000"/>
          <w:sz w:val="28"/>
        </w:rPr>
        <w:t xml:space="preserve">2. 10. Nắm bắt dư luận xã hội và trách nhiệm tiếp công dân của người đứng đầu: </w:t>
      </w:r>
      <w:r>
        <w:rPr>
          <w:rFonts w:ascii="Times New Roman" w:hAnsi="Times New Roman"/>
          <w:b w:val="0"/>
          <w:i w:val="0"/>
          <w:color w:val="000000"/>
          <w:sz w:val="28"/>
        </w:rPr>
        <w:t>Duy trì nền nếp công tác nắm bắt dư luận; đồng chí Bí thư Đảng uỷ và Chủ tịch UBND xã duy trì lịch tiếp công dân định kỳ, chủ động đối thoại và giải quyết các kiến nghị ngay từ cơ sở.</w:t>
      </w:r>
    </w:p>
    <w:p>
      <w:pPr>
        <w:spacing w:before="120" w:after="120" w:lineRule="exact" w:line="360"/>
        <w:ind w:left="0" w:right="0" w:firstLine="567"/>
        <w:jc w:val="both"/>
      </w:pPr>
      <w:r>
        <w:rPr>
          <w:rFonts w:ascii="Times New Roman" w:hAnsi="Times New Roman"/>
          <w:b/>
          <w:i w:val="0"/>
          <w:color w:val="000000"/>
          <w:sz w:val="28"/>
        </w:rPr>
        <w:t xml:space="preserve">3. Đánh giá chung: </w:t>
      </w:r>
    </w:p>
    <w:p>
      <w:pPr>
        <w:spacing w:before="120" w:after="120" w:lineRule="exact" w:line="360"/>
        <w:ind w:left="0" w:right="0" w:firstLine="567"/>
        <w:jc w:val="both"/>
      </w:pPr>
      <w:r>
        <w:rPr>
          <w:rFonts w:ascii="Times New Roman" w:hAnsi="Times New Roman"/>
          <w:b/>
          <w:i w:val="0"/>
          <w:color w:val="000000"/>
          <w:sz w:val="28"/>
        </w:rPr>
        <w:t xml:space="preserve">3. 1. Kết quả đạt được: </w:t>
      </w:r>
      <w:r>
        <w:rPr>
          <w:rFonts w:ascii="Times New Roman" w:hAnsi="Times New Roman"/>
          <w:b w:val="0"/>
          <w:i w:val="0"/>
          <w:color w:val="000000"/>
          <w:sz w:val="28"/>
        </w:rPr>
        <w:t>Công tác phòng, chống tham nhũng, lãng phí, tiêu cực được lãnh đạo đồng bộ; kỷ luật kỷ cương được giữ vững; nội bộ đoàn kết, tạo sự đồng thuận trong cán bộ và Nhân dân.</w:t>
      </w:r>
    </w:p>
    <w:p>
      <w:pPr>
        <w:spacing w:before="120" w:after="120" w:lineRule="exact" w:line="360"/>
        <w:ind w:left="0" w:right="0" w:firstLine="567"/>
        <w:jc w:val="both"/>
      </w:pPr>
      <w:r>
        <w:rPr>
          <w:rFonts w:ascii="Times New Roman" w:hAnsi="Times New Roman"/>
          <w:b/>
          <w:i w:val="0"/>
          <w:color w:val="000000"/>
          <w:sz w:val="28"/>
        </w:rPr>
        <w:t xml:space="preserve">3. 2. Tồn tại, hạn chế: </w:t>
      </w:r>
      <w:r>
        <w:rPr>
          <w:rFonts w:ascii="Times New Roman" w:hAnsi="Times New Roman"/>
          <w:b w:val="0"/>
          <w:i w:val="0"/>
          <w:color w:val="000000"/>
          <w:sz w:val="28"/>
        </w:rPr>
        <w:t>Việc giám sát chuyên đề ở một số chi bộ thôn còn chưa thường xuyên; công tác quản lý tài chính Đảng tại một số chi bộ còn lúng túng; việc nhân rộng các điển hình tiêu biểu về thực hành tiết kiệm chưa nhiều.</w:t>
      </w:r>
    </w:p>
    <w:p>
      <w:pPr>
        <w:spacing w:before="120" w:after="120" w:lineRule="exact" w:line="360"/>
        <w:ind w:left="0" w:right="0" w:firstLine="567"/>
        <w:jc w:val="both"/>
      </w:pPr>
      <w:r>
        <w:rPr>
          <w:rFonts w:ascii="Times New Roman" w:hAnsi="Times New Roman"/>
          <w:b/>
          <w:i w:val="0"/>
          <w:color w:val="000000"/>
          <w:sz w:val="28"/>
        </w:rPr>
        <w:t xml:space="preserve">3. 3. Nguyên nhân: </w:t>
      </w:r>
      <w:r>
        <w:rPr>
          <w:rFonts w:ascii="Times New Roman" w:hAnsi="Times New Roman"/>
          <w:b w:val="0"/>
          <w:i w:val="0"/>
          <w:color w:val="000000"/>
          <w:sz w:val="28"/>
        </w:rPr>
        <w:t>Địa bàn rộng, khối lượng công việc sau sáp nhập lớn; một số cán bộ kiêm nhiệm công tác kiểm tra, giám sát còn hạn chế về kinh nghiệm chuyên môn.</w:t>
      </w:r>
    </w:p>
    <w:p>
      <w:pPr>
        <w:spacing w:before="120" w:after="120" w:lineRule="exact" w:line="360"/>
        <w:ind w:left="0" w:right="0" w:firstLine="567"/>
        <w:jc w:val="both"/>
      </w:pPr>
      <w:r>
        <w:rPr>
          <w:rFonts w:ascii="Times New Roman" w:hAnsi="Times New Roman"/>
          <w:b w:val="0"/>
          <w:i w:val="0"/>
          <w:color w:val="000000"/>
          <w:sz w:val="28"/>
        </w:rPr>
        <w:t>Phần thứ hai: KẾT QUẢ CÔNG TÁC TIẾP CÔNG DÂN, TIẾP NHẬN, XỬ LÝ ĐƠN THƯ VÀ GIẢI QUYẾT KHIẾU NẠI, TỐ CÁO</w:t>
      </w:r>
    </w:p>
    <w:p>
      <w:pPr>
        <w:spacing w:before="120" w:after="120" w:lineRule="exact" w:line="360"/>
        <w:ind w:left="0" w:right="0" w:firstLine="567"/>
        <w:jc w:val="both"/>
      </w:pPr>
      <w:r>
        <w:rPr>
          <w:rFonts w:ascii="Times New Roman" w:hAnsi="Times New Roman"/>
          <w:b/>
          <w:i w:val="0"/>
          <w:color w:val="000000"/>
          <w:sz w:val="28"/>
        </w:rPr>
        <w:t xml:space="preserve">1. Công tác lãnh đạo, chỉ đạo: </w:t>
      </w:r>
      <w:r>
        <w:rPr>
          <w:rFonts w:ascii="Times New Roman" w:hAnsi="Times New Roman"/>
          <w:b w:val="0"/>
          <w:i w:val="0"/>
          <w:color w:val="000000"/>
          <w:sz w:val="28"/>
        </w:rPr>
        <w:t>Đảng uỷ xã đã quán triệt nghiêm túc Quy định số 11-QĐ/TW, Kết luận số 107-KL/TW của Bộ Chính trị; ban hành quy chế, lịch tiếp công dân định kỳ; bố trí 01 phòng tiếp công dân tại trụ sở Đảng uỷ xã và phân công cán bộ chuyên môn phụ trách.</w:t>
      </w:r>
    </w:p>
    <w:p>
      <w:pPr>
        <w:spacing w:before="120" w:after="120" w:lineRule="exact" w:line="360"/>
        <w:ind w:left="0" w:right="0" w:firstLine="567"/>
        <w:jc w:val="both"/>
      </w:pPr>
      <w:r>
        <w:rPr>
          <w:rFonts w:ascii="Times New Roman" w:hAnsi="Times New Roman"/>
          <w:b/>
          <w:i w:val="0"/>
          <w:color w:val="000000"/>
          <w:sz w:val="28"/>
        </w:rPr>
        <w:t xml:space="preserve">2. Kết quả công tác tiếp công dân, xử lý đơn thư: </w:t>
      </w:r>
    </w:p>
    <w:p>
      <w:pPr>
        <w:spacing w:before="120" w:after="120" w:lineRule="exact" w:line="360"/>
        <w:ind w:left="0" w:right="0" w:firstLine="567"/>
        <w:jc w:val="both"/>
      </w:pPr>
      <w:r>
        <w:rPr>
          <w:rFonts w:ascii="Times New Roman" w:hAnsi="Times New Roman"/>
          <w:b w:val="0"/>
          <w:i w:val="0"/>
          <w:color w:val="000000"/>
          <w:sz w:val="28"/>
        </w:rPr>
        <w:t>- Đồng chí Bí thư Đảng uỷ thực hiện tiếp dân định kỳ 02 ngày/tháng (trong kỳ không có công dân đăng ký tiếp).</w:t>
      </w:r>
    </w:p>
    <w:p>
      <w:pPr>
        <w:spacing w:before="120" w:after="120" w:lineRule="exact" w:line="360"/>
        <w:ind w:left="0" w:right="0" w:firstLine="567"/>
        <w:jc w:val="both"/>
      </w:pPr>
      <w:r>
        <w:rPr>
          <w:rFonts w:ascii="Times New Roman" w:hAnsi="Times New Roman"/>
          <w:b w:val="0"/>
          <w:i w:val="0"/>
          <w:color w:val="000000"/>
          <w:sz w:val="28"/>
        </w:rPr>
        <w:t>- Đồng chí Chủ tịch UBND xã tiếp dân định kỳ 04 ngày/tháng: tiếp thường xuyên 32 lượt/32 người, không có vụ việc đông người.</w:t>
      </w:r>
    </w:p>
    <w:p>
      <w:pPr>
        <w:spacing w:before="120" w:after="120" w:lineRule="exact" w:line="360"/>
        <w:ind w:left="0" w:right="0" w:firstLine="567"/>
        <w:jc w:val="both"/>
      </w:pPr>
      <w:r>
        <w:rPr>
          <w:rFonts w:ascii="Times New Roman" w:hAnsi="Times New Roman"/>
          <w:b w:val="0"/>
          <w:i w:val="0"/>
          <w:color w:val="000000"/>
          <w:sz w:val="28"/>
        </w:rPr>
        <w:t>- Tiếp công dân thường xuyên tại bộ phận tiếp dân: tiếp nhận 27 lượt người/27 lượt đơn phản ánh, kiến nghị (chủ yếu về tranh chấp đất đai). Kết quả: đã giải quyết dứt điểm 19 vụ (đạt 79,16%), đang tiếp tục xác minh giải quyết 05 vụ (20,84%); 03 đơn đã phân loại hướng dẫn công dân hoặc chuyển cơ quan có thẩm quyền theo quy định.</w:t>
      </w:r>
    </w:p>
    <w:p>
      <w:pPr>
        <w:spacing w:before="120" w:after="120" w:lineRule="exact" w:line="360"/>
        <w:ind w:left="0" w:right="0" w:firstLine="567"/>
        <w:jc w:val="both"/>
      </w:pPr>
      <w:r>
        <w:rPr>
          <w:rFonts w:ascii="Times New Roman" w:hAnsi="Times New Roman"/>
          <w:b w:val="0"/>
          <w:i w:val="0"/>
          <w:color w:val="000000"/>
          <w:sz w:val="28"/>
        </w:rPr>
        <w:t>- Công tác giải quyết khiếu nại, tố cáo: Tiếp nhận 02 vụ khiếu nại (đang trong thời hạn giải quyết); tiếp nhận 01 đơn tố cáo đảng viên thuộc chi bộ trực thuộc (đang chỉ đạo cơ quan chuyên môn thẩm tra, xác minh theo đúng quy trình của Đảng).</w:t>
      </w:r>
    </w:p>
    <w:p>
      <w:pPr>
        <w:spacing w:before="120" w:after="120" w:lineRule="exact" w:line="360"/>
        <w:ind w:left="0" w:right="0" w:firstLine="567"/>
        <w:jc w:val="both"/>
      </w:pPr>
      <w:r>
        <w:rPr>
          <w:rFonts w:ascii="Times New Roman" w:hAnsi="Times New Roman"/>
          <w:b/>
          <w:i w:val="0"/>
          <w:color w:val="000000"/>
          <w:sz w:val="28"/>
        </w:rPr>
        <w:t xml:space="preserve">3. Đánh giá chung và nguyên nhân: </w:t>
      </w:r>
      <w:r>
        <w:rPr>
          <w:rFonts w:ascii="Times New Roman" w:hAnsi="Times New Roman"/>
          <w:b w:val="0"/>
          <w:i w:val="0"/>
          <w:color w:val="000000"/>
          <w:sz w:val="28"/>
        </w:rPr>
        <w:t>Tình hình khiếu nại, tố cáo cơ bản ổn định, không có điểm nóng hay đoàn đông người vượt cấp. Tồn tại chủ yếu do nguồn gốc đất đai lịch sử phức tạp và áp lực cán bộ kiêm nhiệm mỏng.</w:t>
      </w:r>
    </w:p>
    <w:p>
      <w:pPr>
        <w:spacing w:before="120" w:after="120" w:lineRule="exact" w:line="360"/>
        <w:ind w:left="0" w:right="0" w:firstLine="567"/>
        <w:jc w:val="both"/>
      </w:pPr>
      <w:r>
        <w:rPr>
          <w:rFonts w:ascii="Times New Roman" w:hAnsi="Times New Roman"/>
          <w:b/>
          <w:i w:val="0"/>
          <w:color w:val="000000"/>
          <w:sz w:val="28"/>
        </w:rPr>
        <w:t xml:space="preserve">4. Đề xuất, kiến nghị với Ban Nội chính Tỉnh uỷ và Tỉnh uỷ: </w:t>
      </w:r>
    </w:p>
    <w:p>
      <w:pPr>
        <w:spacing w:before="120" w:after="120" w:lineRule="exact" w:line="360"/>
        <w:ind w:left="0" w:right="0" w:firstLine="567"/>
        <w:jc w:val="both"/>
      </w:pPr>
      <w:r>
        <w:rPr>
          <w:rFonts w:ascii="Times New Roman" w:hAnsi="Times New Roman"/>
          <w:b w:val="0"/>
          <w:i w:val="0"/>
          <w:color w:val="000000"/>
          <w:sz w:val="28"/>
        </w:rPr>
        <w:t>- Kiến nghị Ban Nội chính Tỉnh uỷ phối hợp với các sở, ngành liên quan hướng dẫn tháo gỡ khó khăn về cơ chế pháp lý đối với việc xử lý các tranh chấp, vướng mắc đất đai có nguồn gốc lịch sử phức tạp sau sáp nhập.</w:t>
      </w:r>
    </w:p>
    <w:p>
      <w:pPr>
        <w:spacing w:before="120" w:after="120" w:lineRule="exact" w:line="360"/>
        <w:ind w:left="0" w:right="0" w:firstLine="567"/>
        <w:jc w:val="both"/>
      </w:pPr>
      <w:r>
        <w:rPr>
          <w:rFonts w:ascii="Times New Roman" w:hAnsi="Times New Roman"/>
          <w:b w:val="0"/>
          <w:i w:val="0"/>
          <w:color w:val="000000"/>
          <w:sz w:val="28"/>
        </w:rPr>
        <w:t>- Kiến nghị Tỉnh uỷ quan tâm tổ chức các lớp tập huấn, bồi dưỡng chuyên sâu về kỹ năng tiếp công dân, xử lý đơn thư và nghiệp vụ kiểm tra, giám sát cho đội ngũ cán bộ cấp xã.</w:t>
      </w:r>
    </w:p>
    <w:p>
      <w:pPr>
        <w:spacing w:before="120" w:after="120" w:lineRule="exact" w:line="360"/>
        <w:ind w:left="0" w:right="0" w:firstLine="567"/>
        <w:jc w:val="both"/>
      </w:pPr>
      <w:r>
        <w:rPr>
          <w:rFonts w:ascii="Times New Roman" w:hAnsi="Times New Roman"/>
          <w:b w:val="0"/>
          <w:i w:val="0"/>
          <w:color w:val="000000"/>
          <w:sz w:val="28"/>
        </w:rPr>
        <w:t>- Kiến nghị hỗ trợ đầu tư trang thiết bị công nghệ thông tin phục vụ chuyển đổi số và bảo đảm an toàn dữ liệu trong công tác nội chính Đảng tại địa phương.</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Ban Nội chính Tỉnh uỷ (báo cáo);</w:t>
            </w:r>
          </w:p>
          <w:p>
            <w:pPr>
              <w:spacing w:lineRule="auto" w:line="252" w:before="0" w:after="20"/>
              <w:jc w:val="left"/>
            </w:pPr>
            <w:r>
              <w:rPr>
                <w:rFonts w:ascii="Times New Roman" w:hAnsi="Times New Roman"/>
                <w:sz w:val="24"/>
              </w:rPr>
              <w:t>- Thường trực Đảng uỷ, HĐND, UBND xã;</w:t>
            </w:r>
          </w:p>
          <w:p>
            <w:pPr>
              <w:spacing w:lineRule="auto" w:line="252" w:before="0" w:after="20"/>
              <w:jc w:val="left"/>
            </w:pPr>
            <w:r>
              <w:rPr>
                <w:rFonts w:ascii="Times New Roman" w:hAnsi="Times New Roman"/>
                <w:sz w:val="24"/>
              </w:rPr>
              <w:t>- Các cơ quan, đơn vị, chi bộ trực thuộc;</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T/M BAN THƯỜNG VỤ</w:t>
            </w:r>
          </w:p>
          <w:p>
            <w:pPr>
              <w:spacing w:lineRule="auto" w:line="252" w:before="0" w:after="0"/>
              <w:jc w:val="center"/>
            </w:pPr>
            <w:r>
              <w:rPr>
                <w:rFonts w:ascii="Times New Roman" w:hAnsi="Times New Roman"/>
                <w:b w:val="0"/>
                <w:sz w:val="27"/>
              </w:rPr>
              <w:t>BÍ THƯ</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Vũ Thị Thuỳ Trang</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