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10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Báo cáo công tác lãnh đạo, chỉ đạo và kết quả triển khai thực hiện các văn bản về công tác nội chính Đảng (từ ngày 01/01/2026 đến ngày 30/9/2026)</w:t>
      </w:r>
    </w:p>
    <w:p>
      <w:pPr>
        <w:spacing w:before="120" w:after="120" w:lineRule="exact" w:line="360"/>
        <w:ind w:left="0" w:right="0" w:firstLine="567"/>
        <w:jc w:val="both"/>
      </w:pPr>
      <w:r>
        <w:rPr>
          <w:rFonts w:ascii="Times New Roman" w:hAnsi="Times New Roman"/>
          <w:b w:val="0"/>
          <w:i/>
          <w:color w:val="000000"/>
          <w:sz w:val="28"/>
        </w:rPr>
        <w:t>Căn cứ Quy chế làm việc số 01-QC/ĐU ngày 02/7/2025 của Ban Chấp hành Đảng bộ xã Công Hải khoá I, nhiệm kỳ 2025 - 2030;</w:t>
      </w:r>
    </w:p>
    <w:p>
      <w:pPr>
        <w:spacing w:before="120" w:after="120" w:lineRule="exact" w:line="360"/>
        <w:ind w:left="0" w:right="0" w:firstLine="567"/>
        <w:jc w:val="both"/>
      </w:pPr>
      <w:r>
        <w:rPr>
          <w:rFonts w:ascii="Times New Roman" w:hAnsi="Times New Roman"/>
          <w:b w:val="0"/>
          <w:i/>
          <w:color w:val="000000"/>
          <w:sz w:val="28"/>
        </w:rPr>
        <w:t>Thực hiện phân công của Thường trực Đảng uỷ, Văn phòng Đảng uỷ tiến hành thẩm định hồ sơ dự thảo Báo cáo công tác lãnh đạo, chỉ đạo và kết quả triển khai thực hiện các văn bản về công tác nội chính Đảng (từ ngày 01/01/2026 đến ngày 30/9/2026) phục vụ Đoàn Giám sát của Ban Nội chính Tỉnh uỷ theo Kế hoạch số 31-KH/BNCTU ngày 05/10/2026.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Bộ phận tham mưu Nội chính Văn phòng Đảng uỷ phối hợp với Uỷ ban nhân dân xã.</w:t>
      </w:r>
    </w:p>
    <w:p>
      <w:pPr>
        <w:spacing w:before="120" w:after="120" w:lineRule="exact" w:line="360"/>
        <w:ind w:left="0" w:right="0" w:firstLine="567"/>
        <w:jc w:val="both"/>
      </w:pPr>
      <w:r>
        <w:rPr>
          <w:rFonts w:ascii="Times New Roman" w:hAnsi="Times New Roman"/>
          <w:b w:val="0"/>
          <w:i w:val="0"/>
          <w:color w:val="000000"/>
          <w:sz w:val="28"/>
        </w:rPr>
        <w:t>- Tên văn bản dự thảo: Báo cáo công tác lãnh đạo, chỉ đạo và kết quả triển khai thực hiện các văn bản về công tác nội chính Đảng (từ ngày 01/01/2026 đến ngày 30/9/2026).</w:t>
      </w:r>
    </w:p>
    <w:p>
      <w:pPr>
        <w:spacing w:before="120" w:after="120" w:lineRule="exact" w:line="360"/>
        <w:ind w:left="0" w:right="0" w:firstLine="567"/>
        <w:jc w:val="both"/>
      </w:pPr>
      <w:r>
        <w:rPr>
          <w:rFonts w:ascii="Times New Roman" w:hAnsi="Times New Roman"/>
          <w:b w:val="0"/>
          <w:i w:val="0"/>
          <w:color w:val="000000"/>
          <w:sz w:val="28"/>
        </w:rPr>
        <w:t>- Thể loại và thẩm quyền ban hành đề xuất: Báo cáo của Ban Thường vụ Đảng uỷ (-BC/ĐU), do đồng chí Bí thư Đảng uỷ ký thay mặt Ban Thường vụ Đảng uỷ (T/M BAN THƯỜNG VỤ / BÍ THƯ).</w:t>
      </w:r>
    </w:p>
    <w:p>
      <w:pPr>
        <w:spacing w:before="120" w:after="120" w:lineRule="exact" w:line="360"/>
        <w:ind w:left="0" w:right="0" w:firstLine="567"/>
        <w:jc w:val="both"/>
      </w:pPr>
      <w:r>
        <w:rPr>
          <w:rFonts w:ascii="Times New Roman" w:hAnsi="Times New Roman"/>
          <w:b w:val="0"/>
          <w:i w:val="0"/>
          <w:color w:val="000000"/>
          <w:sz w:val="28"/>
        </w:rPr>
        <w:t>- Mục đích ban hành: Phục vụ Đoàn Giám sát của Ban Nội chính Tỉnh uỷ theo Kế hoạch số 31-KH/BNCTU ngày 05/10/2026.</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p>
    <w:p>
      <w:pPr>
        <w:spacing w:before="120" w:after="120" w:lineRule="exact" w:line="360"/>
        <w:ind w:left="0" w:right="0" w:firstLine="567"/>
        <w:jc w:val="both"/>
      </w:pP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val="0"/>
          <w:i w:val="0"/>
          <w:color w:val="000000"/>
          <w:sz w:val="28"/>
        </w:rPr>
        <w:t>Tuy nhiên, đề nghị bộ phận tham mưu soạn thảo rút kinh nghiệm một số hạn chế về kỹ thuật văn bản trong hồ sơ ban đầu như sau:</w:t>
      </w:r>
    </w:p>
    <w:p>
      <w:pPr>
        <w:spacing w:before="120" w:after="120" w:lineRule="exact" w:line="360"/>
        <w:ind w:left="0" w:right="0" w:firstLine="567"/>
        <w:jc w:val="both"/>
      </w:pPr>
      <w:r>
        <w:rPr>
          <w:rFonts w:ascii="Times New Roman" w:hAnsi="Times New Roman"/>
          <w:b w:val="0"/>
          <w:i w:val="0"/>
          <w:color w:val="000000"/>
          <w:sz w:val="28"/>
        </w:rPr>
        <w:t>- Về chính tả khối Đảng: Dự thảo còn tồn tại nhiều từ chưa chuẩn quy cách chính luận Đảng (đặt dấu theo lối cũ 'Tỉnh ủy', 'Đảng ủy', 'Khánh Hòa' thay vì chuẩn khối Đảng 'Tỉnh uỷ', 'Đảng uỷ', 'Khánh Hoà'; xuất hiện nhiều lỗi đánh máy sai từ ngữ như 'triên khai', 'KHÁT QUÁT', 'hệu quả', 'cụ thế hoá', 'thôn đậc biệt khó khăn', 'triển tuyền'). Văn phòng Đảng uỷ đã rà soát và chỉnh sửa chuẩn hoá toàn bộ.</w:t>
      </w:r>
    </w:p>
    <w:p>
      <w:pPr>
        <w:spacing w:before="120" w:after="120" w:lineRule="exact" w:line="360"/>
        <w:ind w:left="0" w:right="0" w:firstLine="567"/>
        <w:jc w:val="both"/>
      </w:pPr>
      <w:r>
        <w:rPr>
          <w:rFonts w:ascii="Times New Roman" w:hAnsi="Times New Roman"/>
          <w:b w:val="0"/>
          <w:i w:val="0"/>
          <w:color w:val="000000"/>
          <w:sz w:val="28"/>
        </w:rPr>
        <w:t>- Về kết cấu và hệ thống đề mục: Dự thảo có 'Phần thứ nhất' nhưng bị khuyết hoàn toàn 'Phần thứ hai', nhảy cóc sang 'Phần thứ ba'. Tiêu đề tiểu mục '2.4' bị bỏ trống nội dung hoàn toàn, không có văn bản diễn giải. Đề mục 'Phần thứ ba: công tác tiếp công dân...' viết hoa không đồng bộ. Văn phòng Đảng uỷ đã điều chỉnh, sắp xếp lại mạch đề mục khoa học, liền mạch.</w:t>
      </w:r>
    </w:p>
    <w:p>
      <w:pPr>
        <w:spacing w:before="120" w:after="120" w:lineRule="exact" w:line="360"/>
        <w:ind w:left="0" w:right="0" w:firstLine="567"/>
        <w:jc w:val="both"/>
      </w:pPr>
      <w:r>
        <w:rPr>
          <w:rFonts w:ascii="Times New Roman" w:hAnsi="Times New Roman"/>
          <w:b w:val="0"/>
          <w:i w:val="0"/>
          <w:color w:val="000000"/>
          <w:sz w:val="28"/>
        </w:rPr>
        <w:t>- Về định dạng văn bản (Paragraph Spacing): Các đoạn văn bản chưa tuân thủ đồng nhất thông số bắt buộc (Before 6pt, After 6pt, Line spacing Exactly 18pt); khoảng cách thụt lề đầu dòng chưa chuẩn 1cm (dùng phím Tab hoặc dấu cách). Văn phòng Đảng uỷ đã căn chỉnh thống nhất toàn bộ văn bản.</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p>
    <w:p>
      <w:pPr>
        <w:spacing w:before="120" w:after="120" w:lineRule="exact" w:line="360"/>
        <w:ind w:left="0" w:right="0" w:firstLine="567"/>
        <w:jc w:val="both"/>
      </w:pPr>
      <w:r>
        <w:rPr>
          <w:rFonts w:ascii="Times New Roman" w:hAnsi="Times New Roman"/>
          <w:b w:val="0"/>
          <w:i w:val="0"/>
          <w:color w:val="000000"/>
          <w:sz w:val="28"/>
        </w:rPr>
        <w:t>Qua đối soát kỹ lưỡng nội dung và số liệu chuyên môn, Văn phòng Đảng uỷ phát hiện 05 vấn đề mâu thuẫn lớn và điểm nghẽn nghiệp vụ cần báo cáo Thường trực Đảng uỷ chỉ đạo làm rõ:</w:t>
      </w:r>
    </w:p>
    <w:p>
      <w:pPr>
        <w:spacing w:before="120" w:after="120" w:lineRule="exact" w:line="360"/>
        <w:ind w:left="0" w:right="0" w:firstLine="567"/>
        <w:jc w:val="both"/>
      </w:pPr>
      <w:r>
        <w:rPr>
          <w:rFonts w:ascii="Times New Roman" w:hAnsi="Times New Roman"/>
          <w:b w:val="0"/>
          <w:i w:val="0"/>
          <w:color w:val="000000"/>
          <w:sz w:val="28"/>
        </w:rPr>
        <w:t>- Thứ nhất, mâu thuẫn trực tiếp về tình hình đơn thư khiếu nại, tố cáo: Tại Mục 2.8 khẳng định 'Từ đầu năm đến nay, trên địa bàn xã không phát sinh đơn thư khiếu nại, tố cáo, kiến nghị, phản ánh thuộc thẩm quyền xem xét, giải quyết'. Tuy nhiên, ngay tại Phần thứ ba (Mục 1.2 và Mục 3.2), dự thảo lại báo cáo tiếp nhận 27 lượt đơn tranh chấp đất đai qua tiếp dân thường xuyên, 02 vụ khiếu nại tố cáo đang thụ lý giải quyết và 01 đơn tố cáo đảng viên thuộc chi bộ trực thuộc. Đây là mâu thuẫn đối kháng trực tiếp, làm giảm tính khách quan, trung thực của Báo cáo trước Đoàn Giám sát của Tỉnh uỷ. Cần điều chỉnh Mục 2.8 thống nhất với số liệu thực tế tại Phần thứ ba.</w:t>
      </w:r>
    </w:p>
    <w:p>
      <w:pPr>
        <w:spacing w:before="120" w:after="120" w:lineRule="exact" w:line="360"/>
        <w:ind w:left="0" w:right="0" w:firstLine="567"/>
        <w:jc w:val="both"/>
      </w:pPr>
      <w:r>
        <w:rPr>
          <w:rFonts w:ascii="Times New Roman" w:hAnsi="Times New Roman"/>
          <w:b w:val="0"/>
          <w:i w:val="0"/>
          <w:color w:val="000000"/>
          <w:sz w:val="28"/>
        </w:rPr>
        <w:t>- Thứ hai, mâu thuẫn số liệu giải quyết đơn tiếp công dân: Điểm a Khoản 1.2 nêu tiếp nhận 27 lượt người/27 lượt đơn, nhưng câu liền kề lại ghi 'Đã giải quyết 19/24 vụ, số vụ chưa giải quyết 05/24 vụ'. Tổng 19 + 5 = 24 vụ, chênh lệch 03 đơn so với 27 đơn tiếp nhận ban đầu. Cơ quan soạn thảo cần giải trình rõ 03 đơn này thuộc trường hợp lưu đơn, chuyển cơ quan có thẩm quyền hay sai sót cộng dồn.</w:t>
      </w:r>
    </w:p>
    <w:p>
      <w:pPr>
        <w:spacing w:before="120" w:after="120" w:lineRule="exact" w:line="360"/>
        <w:ind w:left="0" w:right="0" w:firstLine="567"/>
        <w:jc w:val="both"/>
      </w:pPr>
      <w:r>
        <w:rPr>
          <w:rFonts w:ascii="Times New Roman" w:hAnsi="Times New Roman"/>
          <w:b w:val="0"/>
          <w:i w:val="0"/>
          <w:color w:val="000000"/>
          <w:sz w:val="28"/>
        </w:rPr>
        <w:t>- Thứ ba, mâu thuẫn về tài sản công và nhà đất dôi dư sau sáp nhập: Mục 2.5 khẳng định 'trên địa bàn xã không có cơ sở nhà đất dôi dư khi sắp xếp đơn vị hành chính', nhưng Mục 2.7 lại báo cáo chi tiết việc tiếp nhận 02 cơ sở nhà đất dôi dư thuộc Phân trạm Y tế Phước Chiến (Cơ sở Ma Trai và Cơ sở Đầu Suối A) và phương án xử lý bàn giao, thanh lý tài sản. Cần chỉnh lý lại Mục 2.5 để bảo đảm sự nhất quán logic.</w:t>
      </w:r>
    </w:p>
    <w:p>
      <w:pPr>
        <w:spacing w:before="120" w:after="120" w:lineRule="exact" w:line="360"/>
        <w:ind w:left="0" w:right="0" w:firstLine="567"/>
        <w:jc w:val="both"/>
      </w:pPr>
      <w:r>
        <w:rPr>
          <w:rFonts w:ascii="Times New Roman" w:hAnsi="Times New Roman"/>
          <w:b w:val="0"/>
          <w:i w:val="0"/>
          <w:color w:val="000000"/>
          <w:sz w:val="28"/>
        </w:rPr>
        <w:t>- Thứ tư, về số liệu biên chế cán bộ, công chức: Báo cáo ghi tổng biên chế được giao là 61/62 (Khối Đảng, Mặt trận: 28/28; Khối Chính quyền: 33/34). Cần đối soát lại với chỉ tiêu giao biên chế chính thức của Tỉnh uỷ và Đề án tổ chức bộ máy Đảng bộ xã (biên chế toàn xã là 72 cán bộ công chức: Khối Đảng 31, Khối Chính quyền 41) để bảo đảm phản ánh chính xác cơ cấu biên chế.</w:t>
      </w:r>
    </w:p>
    <w:p>
      <w:pPr>
        <w:spacing w:before="120" w:after="120" w:lineRule="exact" w:line="360"/>
        <w:ind w:left="0" w:right="0" w:firstLine="567"/>
        <w:jc w:val="both"/>
      </w:pPr>
      <w:r>
        <w:rPr>
          <w:rFonts w:ascii="Times New Roman" w:hAnsi="Times New Roman"/>
          <w:b w:val="0"/>
          <w:i w:val="0"/>
          <w:color w:val="000000"/>
          <w:sz w:val="28"/>
        </w:rPr>
        <w:t>- Thứ năm, thiếu nội dung kiến nghị, đề xuất với cấp trên: Tại Mục 4 (Phần thứ ba), dự thảo ghi 'Đề xuất, kiến nghị: không'. Việc một báo cáo giám sát chuyên đề cấp tỉnh lại ghi 'không kiến nghị' trong khi thực tế địa phương đang đối mặt với nhiều khó khăn lớn sau sáp nhập (áp lực quản lý đất đai lịch sử, cán bộ tiếp dân kiêm nhiệm mỏng, thiếu trang thiết bị chuyển đổi số, khó khăn quản lý đảng phí ở chi bộ thôn) là thiếu tính tham mưu chiến lược. Cần bổ sung các kiến nghị cụ thể để tranh thủ sự hỗ trợ của Tỉnh uỷ.</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 xem xét, chỉ đạo:</w:t>
      </w:r>
    </w:p>
    <w:p>
      <w:pPr>
        <w:spacing w:before="120" w:after="120" w:lineRule="exact" w:line="360"/>
        <w:ind w:left="0" w:right="0" w:firstLine="567"/>
        <w:jc w:val="both"/>
      </w:pPr>
      <w:r>
        <w:rPr>
          <w:rFonts w:ascii="Times New Roman" w:hAnsi="Times New Roman"/>
          <w:b/>
          <w:i w:val="0"/>
          <w:color w:val="000000"/>
          <w:sz w:val="28"/>
        </w:rPr>
        <w:t xml:space="preserve">1. Đối với thể thức văn bản: </w:t>
      </w:r>
      <w:r>
        <w:rPr>
          <w:rFonts w:ascii="Times New Roman" w:hAnsi="Times New Roman"/>
          <w:b w:val="0"/>
          <w:i w:val="0"/>
          <w:color w:val="000000"/>
          <w:sz w:val="28"/>
        </w:rPr>
        <w:t>Thống nhất sử dụng bản Dự thảo Báo cáo đã được Văn phòng Đảng uỷ trực tiếp rà soát, chỉnh sửa toàn diện lỗi chính tả, chuẩn hoá thể thức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Chỉ đạo cơ quan soạn thảo:</w:t>
      </w:r>
    </w:p>
    <w:p>
      <w:pPr>
        <w:spacing w:before="120" w:after="120" w:lineRule="exact" w:line="360"/>
        <w:ind w:left="0" w:right="0" w:firstLine="567"/>
        <w:jc w:val="both"/>
      </w:pPr>
      <w:r>
        <w:rPr>
          <w:rFonts w:ascii="Times New Roman" w:hAnsi="Times New Roman"/>
          <w:b w:val="0"/>
          <w:i w:val="0"/>
          <w:color w:val="000000"/>
          <w:sz w:val="28"/>
        </w:rPr>
        <w:t>- Rà soát, đồng bộ dứt điểm số liệu đơn thư giữa Mục 2.8 và Phần thứ ba; giải trình rõ 03 đơn chênh lệch trong tổng số 27 đơn tiếp công dân.</w:t>
      </w:r>
    </w:p>
    <w:p>
      <w:pPr>
        <w:spacing w:before="120" w:after="120" w:lineRule="exact" w:line="360"/>
        <w:ind w:left="0" w:right="0" w:firstLine="567"/>
        <w:jc w:val="both"/>
      </w:pPr>
      <w:r>
        <w:rPr>
          <w:rFonts w:ascii="Times New Roman" w:hAnsi="Times New Roman"/>
          <w:b w:val="0"/>
          <w:i w:val="0"/>
          <w:color w:val="000000"/>
          <w:sz w:val="28"/>
        </w:rPr>
        <w:t>- Điều chỉnh câu từ tại Mục 2.5 cho thống nhất với kết quả xử lý 02 cơ sở nhà đất dôi dư nêu tại Mục 2.7.</w:t>
      </w:r>
    </w:p>
    <w:p>
      <w:pPr>
        <w:spacing w:before="120" w:after="120" w:lineRule="exact" w:line="360"/>
        <w:ind w:left="0" w:right="0" w:firstLine="567"/>
        <w:jc w:val="both"/>
      </w:pPr>
      <w:r>
        <w:rPr>
          <w:rFonts w:ascii="Times New Roman" w:hAnsi="Times New Roman"/>
          <w:b w:val="0"/>
          <w:i w:val="0"/>
          <w:color w:val="000000"/>
          <w:sz w:val="28"/>
        </w:rPr>
        <w:t>- Bổ sung nội dung ngắn gọn cho Mục 2.4 (công tác rà soát văn bản quy phạm pháp luật) hoặc lồng ghép hợp lý để tránh bỏ trống tiêu đề.</w:t>
      </w:r>
    </w:p>
    <w:p>
      <w:pPr>
        <w:spacing w:before="120" w:after="120" w:lineRule="exact" w:line="360"/>
        <w:ind w:left="0" w:right="0" w:firstLine="567"/>
        <w:jc w:val="both"/>
      </w:pPr>
      <w:r>
        <w:rPr>
          <w:rFonts w:ascii="Times New Roman" w:hAnsi="Times New Roman"/>
          <w:b w:val="0"/>
          <w:i w:val="0"/>
          <w:color w:val="000000"/>
          <w:sz w:val="28"/>
        </w:rPr>
        <w:t>- Bổ sung 03 nhóm kiến nghị trọng tâm với Ban Nội chính Tỉnh uỷ và Ban Thường vụ Tỉnh uỷ: (1) Hỗ trợ tháo gỡ vướng mắc cơ chế xử lý tranh chấp đất đai có nguồn gốc lịch sử phức tạp sau sáp nhập; (2) Tổ chức tập huấn, bồi dưỡng chuyên sâu về kỹ năng xử lý đơn thư và thanh tra, kiểm tra cho cán bộ cơ sở; (3) Hỗ trợ kinh phí, trang thiết bị công nghệ thông tin phục vụ chuyển đổi số và bảo đảm an toàn dữ liệu nội chính Đảng.</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 để cơ quan soạn thảo cập nhật, hoàn chỉnh bản Báo cáo chính thức trước khi trình đồng chí Bí thư Đảng uỷ ký ban hành kịp thời gian làm việc với Đoàn Giám sát của Ban Nội chính Tỉnh uỷ./.</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Uỷ ban nhân dân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