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417B5" w14:textId="77777777" w:rsidR="001B6146" w:rsidRDefault="00000000">
      <w:pPr>
        <w:pStyle w:val="Heading1"/>
        <w:pBdr>
          <w:top w:val="none" w:sz="0" w:space="0" w:color="auto"/>
          <w:left w:val="none" w:sz="0" w:space="0" w:color="auto"/>
          <w:bottom w:val="none" w:sz="0" w:space="0" w:color="auto"/>
          <w:right w:val="none" w:sz="0" w:space="0" w:color="auto"/>
        </w:pBdr>
        <w:shd w:val="clear" w:color="auto" w:fill="auto"/>
        <w:spacing w:after="182"/>
        <w:ind w:left="-5"/>
      </w:pPr>
      <w:r>
        <w:t>6.3.2 Phenomena</w:t>
      </w:r>
    </w:p>
    <w:p w14:paraId="7B6E6274" w14:textId="77777777" w:rsidR="001B6146" w:rsidRDefault="00000000">
      <w:pPr>
        <w:ind w:left="-5" w:right="0"/>
      </w:pPr>
      <w:r>
        <w:t xml:space="preserve">For reasonable transaction throughput values, it makes sense to imply transaction </w:t>
      </w:r>
      <w:r>
        <w:rPr>
          <w:i/>
        </w:rPr>
        <w:t>serializability</w:t>
      </w:r>
      <w:r>
        <w:t xml:space="preserve">. As the incoming traffic grows, the price for strict data integrity becomes too high, and this is the primary reason for having multiple isolation levels. Relaxing serializability guarantees may generate data integrity anomalies, which are also referred as </w:t>
      </w:r>
      <w:r>
        <w:rPr>
          <w:i/>
        </w:rPr>
        <w:t>phenomena</w:t>
      </w:r>
      <w:r>
        <w:t>.</w:t>
      </w:r>
    </w:p>
    <w:p w14:paraId="54C3E4F7" w14:textId="77777777" w:rsidR="001B6146" w:rsidRDefault="00000000">
      <w:pPr>
        <w:spacing w:after="371"/>
        <w:ind w:left="-5" w:right="0"/>
      </w:pPr>
      <w:r>
        <w:t>The SQL-92 standard introduced three phenomena that can occur when moving away from a serializable transaction schedule:</w:t>
      </w:r>
    </w:p>
    <w:p w14:paraId="7A33B610" w14:textId="77777777" w:rsidR="001B6146" w:rsidRDefault="00000000">
      <w:pPr>
        <w:numPr>
          <w:ilvl w:val="0"/>
          <w:numId w:val="1"/>
        </w:numPr>
        <w:spacing w:after="0" w:line="265" w:lineRule="auto"/>
        <w:ind w:left="484" w:right="6839" w:hanging="188"/>
        <w:jc w:val="left"/>
      </w:pPr>
      <w:r>
        <w:rPr>
          <w:i/>
        </w:rPr>
        <w:t xml:space="preserve">dirty read </w:t>
      </w:r>
      <w:r>
        <w:t xml:space="preserve">• </w:t>
      </w:r>
      <w:r>
        <w:rPr>
          <w:i/>
        </w:rPr>
        <w:t>non-repeatable read</w:t>
      </w:r>
    </w:p>
    <w:p w14:paraId="2CDC77F4" w14:textId="77777777" w:rsidR="001B6146" w:rsidRDefault="00000000">
      <w:pPr>
        <w:numPr>
          <w:ilvl w:val="0"/>
          <w:numId w:val="1"/>
        </w:numPr>
        <w:spacing w:after="358" w:line="265" w:lineRule="auto"/>
        <w:ind w:left="484" w:right="6839" w:hanging="188"/>
        <w:jc w:val="left"/>
      </w:pPr>
      <w:r>
        <w:rPr>
          <w:i/>
        </w:rPr>
        <w:t>phantom read</w:t>
      </w:r>
      <w:r>
        <w:t>.</w:t>
      </w:r>
    </w:p>
    <w:p w14:paraId="20F29419" w14:textId="77777777" w:rsidR="001B6146" w:rsidRDefault="00000000">
      <w:pPr>
        <w:spacing w:after="395"/>
        <w:ind w:left="-5" w:right="0"/>
      </w:pPr>
      <w:r>
        <w:t xml:space="preserve">In reality, there are other phenomena that can occur due to transaction interleaving, as the famous paper </w:t>
      </w:r>
      <w:hyperlink r:id="rId7">
        <w:r>
          <w:rPr>
            <w:i/>
            <w:color w:val="000099"/>
          </w:rPr>
          <w:t>A Critique of ANSI SQL Isolation Levels</w:t>
        </w:r>
      </w:hyperlink>
      <w:r>
        <w:rPr>
          <w:color w:val="000099"/>
          <w:vertAlign w:val="superscript"/>
        </w:rPr>
        <w:footnoteReference w:id="1"/>
      </w:r>
      <w:r>
        <w:rPr>
          <w:color w:val="000099"/>
          <w:vertAlign w:val="superscript"/>
        </w:rPr>
        <w:t xml:space="preserve"> </w:t>
      </w:r>
      <w:r>
        <w:t>describes:</w:t>
      </w:r>
    </w:p>
    <w:p w14:paraId="15284F5D" w14:textId="77777777" w:rsidR="001B6146" w:rsidRDefault="00000000">
      <w:pPr>
        <w:numPr>
          <w:ilvl w:val="0"/>
          <w:numId w:val="1"/>
        </w:numPr>
        <w:spacing w:after="0" w:line="265" w:lineRule="auto"/>
        <w:ind w:left="484" w:right="6839" w:hanging="188"/>
        <w:jc w:val="left"/>
      </w:pPr>
      <w:r>
        <w:rPr>
          <w:i/>
        </w:rPr>
        <w:t xml:space="preserve">dirty write </w:t>
      </w:r>
      <w:r>
        <w:t xml:space="preserve">• </w:t>
      </w:r>
      <w:r>
        <w:rPr>
          <w:i/>
        </w:rPr>
        <w:t>read skew</w:t>
      </w:r>
    </w:p>
    <w:p w14:paraId="467952D0" w14:textId="77777777" w:rsidR="001B6146" w:rsidRDefault="00000000">
      <w:pPr>
        <w:numPr>
          <w:ilvl w:val="0"/>
          <w:numId w:val="1"/>
        </w:numPr>
        <w:spacing w:after="0" w:line="265" w:lineRule="auto"/>
        <w:ind w:left="484" w:right="6839" w:hanging="188"/>
        <w:jc w:val="left"/>
      </w:pPr>
      <w:r>
        <w:rPr>
          <w:i/>
        </w:rPr>
        <w:t>write skew</w:t>
      </w:r>
    </w:p>
    <w:p w14:paraId="376ADFF6" w14:textId="77777777" w:rsidR="001B6146" w:rsidRDefault="00000000">
      <w:pPr>
        <w:numPr>
          <w:ilvl w:val="0"/>
          <w:numId w:val="1"/>
        </w:numPr>
        <w:spacing w:after="687" w:line="265" w:lineRule="auto"/>
        <w:ind w:left="484" w:right="6839" w:hanging="188"/>
        <w:jc w:val="left"/>
      </w:pPr>
      <w:r>
        <w:rPr>
          <w:i/>
        </w:rPr>
        <w:t>lost update</w:t>
      </w:r>
      <w:r>
        <w:t>.</w:t>
      </w:r>
    </w:p>
    <w:p w14:paraId="1A1EB783"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Choosing a certain isolation level is a trade-off between increasing concurrency and acknowledging the possible anomalies that might occur.</w:t>
      </w:r>
    </w:p>
    <w:p w14:paraId="2772D995"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Scalability is undermined by contention and coherency costs. The lower the isolation level, the less locking (or multi-version transaction abortions), and the more scalable the application gets.</w:t>
      </w:r>
    </w:p>
    <w:p w14:paraId="7C11FD6B"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825" w:line="265" w:lineRule="auto"/>
        <w:ind w:left="561" w:right="366"/>
      </w:pPr>
      <w:r>
        <w:rPr>
          <w:sz w:val="20"/>
        </w:rPr>
        <w:t>However, a lower isolation level allows more phenomena, and the data integrity responsibility is shifted from the database side to the application logic, which must ensure that it takes all measures to prevent or mitigate any such data anomaly.</w:t>
      </w:r>
    </w:p>
    <w:p w14:paraId="5933FF56" w14:textId="77777777" w:rsidR="001B6146" w:rsidRDefault="00000000">
      <w:pPr>
        <w:ind w:left="-5" w:right="0"/>
      </w:pPr>
      <w:r>
        <w:t>Before jumping to isolation levels, it is better to understand what’s behind each particular phenomenon and how it can affect data integrity. When choosing a given transaction isolation level, understanding phenomena becomes fundamental to taking the right decision,</w:t>
      </w:r>
    </w:p>
    <w:p w14:paraId="3AD75DAF" w14:textId="77777777" w:rsidR="001B6146" w:rsidRDefault="00000000">
      <w:pPr>
        <w:pStyle w:val="Heading2"/>
        <w:ind w:left="-5"/>
      </w:pPr>
      <w:r>
        <w:t>6.3.2.1 Dirty write</w:t>
      </w:r>
    </w:p>
    <w:p w14:paraId="7331DB70" w14:textId="77777777" w:rsidR="001B6146" w:rsidRDefault="00000000">
      <w:pPr>
        <w:spacing w:after="4"/>
        <w:ind w:left="-5" w:right="0"/>
      </w:pPr>
      <w:r>
        <w:t>A dirty write happens when two concurrent transactions are allowed to modify the same row at the same time. As previously mentioned, all changes are applied to the actual database object structures, which means that the second transaction simply overwrites the first transaction pending change.</w:t>
      </w:r>
    </w:p>
    <w:p w14:paraId="5ABC41DC" w14:textId="77777777" w:rsidR="001B6146" w:rsidRDefault="00000000">
      <w:pPr>
        <w:spacing w:after="87" w:line="259" w:lineRule="auto"/>
        <w:ind w:left="0" w:right="0" w:firstLine="0"/>
        <w:jc w:val="left"/>
      </w:pPr>
      <w:r>
        <w:rPr>
          <w:noProof/>
        </w:rPr>
        <w:lastRenderedPageBreak/>
        <w:drawing>
          <wp:inline distT="0" distB="0" distL="0" distR="0" wp14:anchorId="07BBD1D1" wp14:editId="4B6CEBA8">
            <wp:extent cx="5943613" cy="3163278"/>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5943613" cy="3163278"/>
                    </a:xfrm>
                    <a:prstGeom prst="rect">
                      <a:avLst/>
                    </a:prstGeom>
                  </pic:spPr>
                </pic:pic>
              </a:graphicData>
            </a:graphic>
          </wp:inline>
        </w:drawing>
      </w:r>
    </w:p>
    <w:p w14:paraId="03377D9A" w14:textId="77777777" w:rsidR="001B6146" w:rsidRDefault="00000000">
      <w:pPr>
        <w:pStyle w:val="Heading3"/>
      </w:pPr>
      <w:r>
        <w:t>Figure 6.4: Dirty write</w:t>
      </w:r>
    </w:p>
    <w:p w14:paraId="02DA26E9" w14:textId="77777777" w:rsidR="001B6146" w:rsidRDefault="00000000">
      <w:pPr>
        <w:spacing w:after="370"/>
        <w:ind w:left="-5" w:right="0"/>
      </w:pPr>
      <w:r>
        <w:t xml:space="preserve">If the two transactions commit, one transaction will silently overwrite the other transaction, causing a </w:t>
      </w:r>
      <w:r>
        <w:rPr>
          <w:i/>
        </w:rPr>
        <w:t>lost update</w:t>
      </w:r>
      <w:r>
        <w:t>. Another problem arises when the first transaction wants to roll back. The database engine would have to choose one of the following action paths:</w:t>
      </w:r>
    </w:p>
    <w:p w14:paraId="06136156" w14:textId="77777777" w:rsidR="001B6146" w:rsidRDefault="00000000">
      <w:pPr>
        <w:numPr>
          <w:ilvl w:val="0"/>
          <w:numId w:val="2"/>
        </w:numPr>
        <w:spacing w:after="7"/>
        <w:ind w:left="499" w:right="-4" w:hanging="188"/>
        <w:jc w:val="left"/>
      </w:pPr>
      <w:r>
        <w:t>It can restore the row to its previous version (as it was before the first transaction changed it), but then it overwrites the second transaction uncommitted change.</w:t>
      </w:r>
    </w:p>
    <w:p w14:paraId="3089DC8E" w14:textId="77777777" w:rsidR="001B6146" w:rsidRDefault="00000000">
      <w:pPr>
        <w:numPr>
          <w:ilvl w:val="0"/>
          <w:numId w:val="2"/>
        </w:numPr>
        <w:spacing w:after="367" w:line="256" w:lineRule="auto"/>
        <w:ind w:left="499" w:right="-4" w:hanging="188"/>
        <w:jc w:val="left"/>
      </w:pPr>
      <w:r>
        <w:t>It can acknowledge the existence of a newer version (issued by the second transaction), but then, if the second transaction has to roll back, its previous version will become the uncommitted change of the first transaction.</w:t>
      </w:r>
    </w:p>
    <w:p w14:paraId="33DF0E44" w14:textId="77777777" w:rsidR="001B6146" w:rsidRDefault="00000000">
      <w:pPr>
        <w:ind w:left="-5" w:right="0"/>
      </w:pPr>
      <w:r>
        <w:t>If the database engine did not prevent dirty writes, guaranteeing rollbacks would not be possible. Because atomicity cannot be implemented in the absence of reliable rollbacks, all database systems must, therefore, prevent dirty writes.</w:t>
      </w:r>
    </w:p>
    <w:p w14:paraId="0F3308D5" w14:textId="77777777" w:rsidR="001B6146" w:rsidRDefault="00000000">
      <w:pPr>
        <w:ind w:left="-5" w:right="0"/>
      </w:pPr>
      <w:r>
        <w:t>Although the SQL standard does not mention this phenomenon, even the lowest isolation level (</w:t>
      </w:r>
      <w:r>
        <w:rPr>
          <w:i/>
        </w:rPr>
        <w:t>Read Uncommitted</w:t>
      </w:r>
      <w:r>
        <w:t>) can prevent it.</w:t>
      </w:r>
    </w:p>
    <w:p w14:paraId="33E67F1A" w14:textId="77777777" w:rsidR="001B6146" w:rsidRDefault="00000000">
      <w:pPr>
        <w:pStyle w:val="Heading2"/>
        <w:ind w:left="-5"/>
      </w:pPr>
      <w:r>
        <w:t>6.3.2.2 Dirty read</w:t>
      </w:r>
    </w:p>
    <w:p w14:paraId="2CA6CE9E" w14:textId="77777777" w:rsidR="001B6146" w:rsidRDefault="00000000">
      <w:pPr>
        <w:spacing w:after="4"/>
        <w:ind w:left="-5" w:right="0"/>
      </w:pPr>
      <w:r>
        <w:t>As previously mentioned, all database changes are applied to the actual data structures (memory buffers, data blocks, indexes). A dirty read happens when a transaction is allowed to read the uncommitted changes of some other concurrent transaction. Taking a business decision on a value that has not been committed is risky because uncommitted changes might get rolled back.</w:t>
      </w:r>
    </w:p>
    <w:p w14:paraId="16514E24" w14:textId="77777777" w:rsidR="001B6146" w:rsidRDefault="00000000">
      <w:pPr>
        <w:spacing w:after="87" w:line="259" w:lineRule="auto"/>
        <w:ind w:left="0" w:right="0" w:firstLine="0"/>
        <w:jc w:val="left"/>
      </w:pPr>
      <w:r>
        <w:rPr>
          <w:noProof/>
        </w:rPr>
        <w:lastRenderedPageBreak/>
        <w:drawing>
          <wp:inline distT="0" distB="0" distL="0" distR="0" wp14:anchorId="2C9976BB" wp14:editId="166CB097">
            <wp:extent cx="5943613" cy="3253016"/>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
                    <a:stretch>
                      <a:fillRect/>
                    </a:stretch>
                  </pic:blipFill>
                  <pic:spPr>
                    <a:xfrm>
                      <a:off x="0" y="0"/>
                      <a:ext cx="5943613" cy="3253016"/>
                    </a:xfrm>
                    <a:prstGeom prst="rect">
                      <a:avLst/>
                    </a:prstGeom>
                  </pic:spPr>
                </pic:pic>
              </a:graphicData>
            </a:graphic>
          </wp:inline>
        </w:drawing>
      </w:r>
    </w:p>
    <w:p w14:paraId="482F88E4" w14:textId="77777777" w:rsidR="001B6146" w:rsidRDefault="00000000">
      <w:pPr>
        <w:pStyle w:val="Heading3"/>
      </w:pPr>
      <w:r>
        <w:t>Figure 6.5: Dirty read</w:t>
      </w:r>
    </w:p>
    <w:p w14:paraId="62A371CC" w14:textId="77777777" w:rsidR="001B6146" w:rsidRDefault="00000000">
      <w:pPr>
        <w:ind w:left="-5" w:right="0"/>
      </w:pPr>
      <w:r>
        <w:t>This anomaly is only permitted by the Read Uncommitted isolation level, and, because of the serious impact on data integrity, most database systems offer a higher default isolation level.</w:t>
      </w:r>
    </w:p>
    <w:p w14:paraId="335194E6" w14:textId="77777777" w:rsidR="001B6146" w:rsidRDefault="00000000">
      <w:pPr>
        <w:ind w:left="-5" w:right="0"/>
      </w:pPr>
      <w:r>
        <w:t>To prevent dirty reads, the database engine must hide uncommitted changes from all other concurrent transactions. Each transaction is allowed to see its own changes because otherwise the read-your-own-writes consistency guarantee is compromised.</w:t>
      </w:r>
    </w:p>
    <w:p w14:paraId="5BCA03B6" w14:textId="77777777" w:rsidR="001B6146" w:rsidRDefault="00000000">
      <w:pPr>
        <w:ind w:left="-5" w:right="0"/>
      </w:pPr>
      <w:r>
        <w:t>If the underlying database uses 2PL (Two-Phase Locking), the uncommitted rows are protected by write locks which prevent other concurrent transactions from reading these records until they are committed.</w:t>
      </w:r>
    </w:p>
    <w:p w14:paraId="6FFD33E2" w14:textId="77777777" w:rsidR="001B6146" w:rsidRDefault="00000000">
      <w:pPr>
        <w:ind w:left="-5" w:right="0"/>
      </w:pPr>
      <w:r>
        <w:t>When the underlying database uses MVCC (Multi-Version Concurrency Control), the database engine can use the undo log which already captures the previous version of every uncommitted record, to restore the previous value in other concurrent transaction queries. Most database systems optimize the before image restoring process, therefore lowering its overhead on the overall application performance.</w:t>
      </w:r>
    </w:p>
    <w:p w14:paraId="5FBC4BFA" w14:textId="77777777" w:rsidR="001B6146" w:rsidRDefault="00000000">
      <w:pPr>
        <w:ind w:left="-5" w:right="0"/>
      </w:pPr>
      <w:r>
        <w:t>Read Uncommitted is rarely needed (non-strict reporting queries where dirty reads are acceptable), so Read Committed is usually the lowest practical isolation level.</w:t>
      </w:r>
    </w:p>
    <w:p w14:paraId="55BB9ECB" w14:textId="77777777" w:rsidR="001B6146" w:rsidRDefault="00000000">
      <w:pPr>
        <w:pStyle w:val="Heading2"/>
        <w:ind w:left="-5"/>
      </w:pPr>
      <w:r>
        <w:t>6.3.2.3 Non-repeatable read</w:t>
      </w:r>
    </w:p>
    <w:p w14:paraId="19C7BDF2" w14:textId="77777777" w:rsidR="001B6146" w:rsidRDefault="00000000">
      <w:pPr>
        <w:spacing w:after="4"/>
        <w:ind w:left="-5" w:right="0"/>
      </w:pPr>
      <w:r>
        <w:t>If one transaction reads a database row without applying a shared lock on the newly fetched record, then a concurrent transaction might change this row before the first transaction has ended.</w:t>
      </w:r>
    </w:p>
    <w:p w14:paraId="1ECEAB7B" w14:textId="77777777" w:rsidR="001B6146" w:rsidRDefault="00000000">
      <w:pPr>
        <w:spacing w:after="87" w:line="259" w:lineRule="auto"/>
        <w:ind w:left="0" w:right="0" w:firstLine="0"/>
        <w:jc w:val="left"/>
      </w:pPr>
      <w:r>
        <w:rPr>
          <w:noProof/>
        </w:rPr>
        <w:lastRenderedPageBreak/>
        <w:drawing>
          <wp:inline distT="0" distB="0" distL="0" distR="0" wp14:anchorId="62BF3D5C" wp14:editId="5DA1EE94">
            <wp:extent cx="5943613" cy="3750742"/>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943613" cy="3750742"/>
                    </a:xfrm>
                    <a:prstGeom prst="rect">
                      <a:avLst/>
                    </a:prstGeom>
                  </pic:spPr>
                </pic:pic>
              </a:graphicData>
            </a:graphic>
          </wp:inline>
        </w:drawing>
      </w:r>
    </w:p>
    <w:p w14:paraId="79955ADB" w14:textId="77777777" w:rsidR="001B6146" w:rsidRDefault="00000000">
      <w:pPr>
        <w:pStyle w:val="Heading3"/>
      </w:pPr>
      <w:r>
        <w:t>Figure 6.6: Non-repeatable read</w:t>
      </w:r>
    </w:p>
    <w:p w14:paraId="71CB8734" w14:textId="77777777" w:rsidR="001B6146" w:rsidRDefault="00000000">
      <w:pPr>
        <w:ind w:left="-5" w:right="0"/>
      </w:pPr>
      <w:r>
        <w:t>This phenomenon is problematic when the current transaction makes a business decision based on the first value of the given database row (a client might order a product based on a stock quantity value that is no longer a positive integer).</w:t>
      </w:r>
    </w:p>
    <w:p w14:paraId="280EDBA4" w14:textId="77777777" w:rsidR="001B6146" w:rsidRDefault="00000000">
      <w:pPr>
        <w:ind w:left="-5" w:right="0"/>
      </w:pPr>
      <w:r>
        <w:t>Most database systems have moved to a Multi-Version Concurrency Control model, and shared locks are no longer mandatory for preventing non-repeatable reads. By verifying the current row version, a transaction can be aborted if a previously fetched record has changed in the meanwhile.</w:t>
      </w:r>
    </w:p>
    <w:p w14:paraId="5D0CDEE5" w14:textId="77777777" w:rsidR="001B6146" w:rsidRDefault="00000000">
      <w:pPr>
        <w:spacing w:after="55"/>
        <w:ind w:left="-5" w:right="0"/>
      </w:pPr>
      <w:r>
        <w:t>Repeatable Read and Serializable prevent this anomaly by default. With Read Committed, it is possible to avoid non-repeatable (fuzzy) reads if the shared locks are acquired explicitly (e.g.</w:t>
      </w:r>
    </w:p>
    <w:p w14:paraId="51CFD97F" w14:textId="77777777" w:rsidR="001B6146" w:rsidRDefault="00000000">
      <w:pPr>
        <w:spacing w:after="157" w:line="259" w:lineRule="auto"/>
        <w:ind w:left="0" w:right="0" w:firstLine="0"/>
        <w:jc w:val="left"/>
      </w:pPr>
      <w:r>
        <w:rPr>
          <w:rFonts w:ascii="Courier New" w:eastAsia="Courier New" w:hAnsi="Courier New" w:cs="Courier New"/>
          <w:sz w:val="18"/>
        </w:rPr>
        <w:t>SELECT FOR SHARE</w:t>
      </w:r>
      <w:r>
        <w:t>).</w:t>
      </w:r>
    </w:p>
    <w:p w14:paraId="2DD7C2F7" w14:textId="77777777" w:rsidR="001B6146" w:rsidRDefault="00000000">
      <w:pPr>
        <w:ind w:left="-5" w:right="0"/>
      </w:pPr>
      <w:r>
        <w:t xml:space="preserve">Some ORM frameworks (e.g. JPA/Hibernate) offer application-level repeatable reads. The first snapshot of any retrieved entity is cached in the currently running </w:t>
      </w:r>
      <w:r>
        <w:rPr>
          <w:i/>
        </w:rPr>
        <w:t>Persistence Context</w:t>
      </w:r>
      <w:r>
        <w:t>. Any successive query returning the same database row is going to use the very same object that was previously cached. This way, the fuzzy reads may be prevented even in Read Committed isolation level.</w:t>
      </w:r>
    </w:p>
    <w:p w14:paraId="495F51CD" w14:textId="77777777" w:rsidR="001B6146" w:rsidRDefault="00000000">
      <w:pPr>
        <w:pStyle w:val="Heading2"/>
        <w:ind w:left="-5"/>
      </w:pPr>
      <w:r>
        <w:t>6.3.2.4 Phantom read</w:t>
      </w:r>
    </w:p>
    <w:p w14:paraId="68D1F7AB" w14:textId="77777777" w:rsidR="001B6146" w:rsidRDefault="00000000">
      <w:pPr>
        <w:spacing w:after="0" w:line="256" w:lineRule="auto"/>
        <w:ind w:left="-15" w:right="-8" w:firstLine="0"/>
        <w:jc w:val="left"/>
      </w:pPr>
      <w:r>
        <w:t>If a transaction makes a business decision based on a set of rows satisfying a given predicate, without range locks, a concurrent transaction might insert a record matching that particular predicate.</w:t>
      </w:r>
    </w:p>
    <w:p w14:paraId="5A173EED" w14:textId="77777777" w:rsidR="001B6146" w:rsidRDefault="00000000">
      <w:pPr>
        <w:spacing w:after="87" w:line="259" w:lineRule="auto"/>
        <w:ind w:left="0" w:right="0" w:firstLine="0"/>
        <w:jc w:val="left"/>
      </w:pPr>
      <w:r>
        <w:rPr>
          <w:noProof/>
        </w:rPr>
        <w:lastRenderedPageBreak/>
        <w:drawing>
          <wp:inline distT="0" distB="0" distL="0" distR="0" wp14:anchorId="284A7CC8" wp14:editId="4CA1D667">
            <wp:extent cx="5943613" cy="389820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1"/>
                    <a:stretch>
                      <a:fillRect/>
                    </a:stretch>
                  </pic:blipFill>
                  <pic:spPr>
                    <a:xfrm>
                      <a:off x="0" y="0"/>
                      <a:ext cx="5943613" cy="3898202"/>
                    </a:xfrm>
                    <a:prstGeom prst="rect">
                      <a:avLst/>
                    </a:prstGeom>
                  </pic:spPr>
                </pic:pic>
              </a:graphicData>
            </a:graphic>
          </wp:inline>
        </w:drawing>
      </w:r>
    </w:p>
    <w:p w14:paraId="48D5E1D7" w14:textId="77777777" w:rsidR="001B6146" w:rsidRDefault="00000000">
      <w:pPr>
        <w:pStyle w:val="Heading3"/>
      </w:pPr>
      <w:r>
        <w:t>Figure 6.7: Phantom read</w:t>
      </w:r>
    </w:p>
    <w:p w14:paraId="5045C37B" w14:textId="77777777" w:rsidR="001B6146" w:rsidRDefault="00000000">
      <w:pPr>
        <w:ind w:left="-5" w:right="0"/>
      </w:pPr>
      <w:r>
        <w:t>The SQL standard says that Phantom Read occurs if two consecutive query executions render different results because a concurrent transaction has modified the range of records in between the two calls. Although providing consistent reads is a mandatory requirement for serializability, that is not sufficient. For instance, one buyer might purchase a product without being aware of a better offer that was added right after the user has finished fetching the offer list.</w:t>
      </w:r>
    </w:p>
    <w:p w14:paraId="1F691F60" w14:textId="77777777" w:rsidR="001B6146" w:rsidRDefault="00000000">
      <w:pPr>
        <w:ind w:left="-5" w:right="0"/>
      </w:pPr>
      <w:r>
        <w:t>The 2PL-based Serializable isolation prevents Phantom Reads through the use of predicate locking. On the other hand, MVCC database engines address the Phantom Read anomaly by returning consistent snapshots. However, a concurrent transaction can still modify the range of records that was read previously. Even if the MVCC database engine introspects the transaction schedule, the outcome is not always the same as a 2PL-based implementation. One such example is when the second transaction issues an insert without reading the same range of records as the first transaction. In this particular use case, some MVCC database engines will not end up rolling back the first transaction.</w:t>
      </w:r>
    </w:p>
    <w:p w14:paraId="1EE5699D" w14:textId="77777777" w:rsidR="001B6146" w:rsidRDefault="00000000">
      <w:pPr>
        <w:pStyle w:val="Heading2"/>
        <w:ind w:left="-5"/>
      </w:pPr>
      <w:r>
        <w:t>6.3.2.5 Read skew</w:t>
      </w:r>
    </w:p>
    <w:p w14:paraId="6211674D" w14:textId="77777777" w:rsidR="001B6146" w:rsidRDefault="00000000">
      <w:pPr>
        <w:spacing w:after="6"/>
        <w:ind w:left="-5" w:right="0"/>
      </w:pPr>
      <w:r>
        <w:t xml:space="preserve">Read skew is a lesser known anomaly that involves a constraint on more than one database tables. In the following example, the application requires the </w:t>
      </w:r>
      <w:r>
        <w:rPr>
          <w:i/>
        </w:rPr>
        <w:t xml:space="preserve">post </w:t>
      </w:r>
      <w:r>
        <w:t xml:space="preserve">and the </w:t>
      </w:r>
      <w:r>
        <w:rPr>
          <w:i/>
        </w:rPr>
        <w:t xml:space="preserve">post_details </w:t>
      </w:r>
      <w:r>
        <w:t xml:space="preserve">be updated in sync. Whenever a </w:t>
      </w:r>
      <w:r>
        <w:rPr>
          <w:i/>
        </w:rPr>
        <w:t xml:space="preserve">post </w:t>
      </w:r>
      <w:r>
        <w:t xml:space="preserve">record changes, its associated </w:t>
      </w:r>
      <w:r>
        <w:rPr>
          <w:i/>
        </w:rPr>
        <w:t xml:space="preserve">post_details </w:t>
      </w:r>
      <w:r>
        <w:t>must register the user who made the current modification.</w:t>
      </w:r>
    </w:p>
    <w:p w14:paraId="50B4E8D0" w14:textId="77777777" w:rsidR="001B6146" w:rsidRDefault="00000000">
      <w:pPr>
        <w:spacing w:after="87" w:line="259" w:lineRule="auto"/>
        <w:ind w:left="0" w:right="0" w:firstLine="0"/>
        <w:jc w:val="left"/>
      </w:pPr>
      <w:r>
        <w:rPr>
          <w:noProof/>
        </w:rPr>
        <w:lastRenderedPageBreak/>
        <w:drawing>
          <wp:inline distT="0" distB="0" distL="0" distR="0" wp14:anchorId="77AB0DC6" wp14:editId="783C5565">
            <wp:extent cx="5943499" cy="4415803"/>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2"/>
                    <a:stretch>
                      <a:fillRect/>
                    </a:stretch>
                  </pic:blipFill>
                  <pic:spPr>
                    <a:xfrm>
                      <a:off x="0" y="0"/>
                      <a:ext cx="5943499" cy="4415803"/>
                    </a:xfrm>
                    <a:prstGeom prst="rect">
                      <a:avLst/>
                    </a:prstGeom>
                  </pic:spPr>
                </pic:pic>
              </a:graphicData>
            </a:graphic>
          </wp:inline>
        </w:drawing>
      </w:r>
    </w:p>
    <w:p w14:paraId="4754465C" w14:textId="77777777" w:rsidR="001B6146" w:rsidRDefault="00000000">
      <w:pPr>
        <w:pStyle w:val="Heading3"/>
      </w:pPr>
      <w:r>
        <w:t>Figure 6.8: Read skew</w:t>
      </w:r>
    </w:p>
    <w:p w14:paraId="071C0640" w14:textId="77777777" w:rsidR="001B6146" w:rsidRDefault="00000000">
      <w:pPr>
        <w:ind w:left="-5" w:right="0"/>
      </w:pPr>
      <w:r>
        <w:t xml:space="preserve">In between selecting the </w:t>
      </w:r>
      <w:r>
        <w:rPr>
          <w:i/>
        </w:rPr>
        <w:t xml:space="preserve">post </w:t>
      </w:r>
      <w:r>
        <w:t xml:space="preserve">and the </w:t>
      </w:r>
      <w:r>
        <w:rPr>
          <w:i/>
        </w:rPr>
        <w:t xml:space="preserve">post_details </w:t>
      </w:r>
      <w:r>
        <w:t xml:space="preserve">rows, a second transaction sneaks in and manages to update both records. The first transaction sees an older version of the </w:t>
      </w:r>
      <w:r>
        <w:rPr>
          <w:i/>
        </w:rPr>
        <w:t xml:space="preserve">post </w:t>
      </w:r>
      <w:r>
        <w:t xml:space="preserve">row and the latest version of the associated </w:t>
      </w:r>
      <w:r>
        <w:rPr>
          <w:i/>
        </w:rPr>
        <w:t>post_details</w:t>
      </w:r>
      <w:r>
        <w:t xml:space="preserve">. Because of this read skew, the first transaction assumes that this particular </w:t>
      </w:r>
      <w:r>
        <w:rPr>
          <w:i/>
        </w:rPr>
        <w:t xml:space="preserve">post </w:t>
      </w:r>
      <w:r>
        <w:t xml:space="preserve">was updated by </w:t>
      </w:r>
      <w:r>
        <w:rPr>
          <w:i/>
        </w:rPr>
        <w:t>Bob</w:t>
      </w:r>
      <w:r>
        <w:t xml:space="preserve">, although, in fact, it is an older version updated by </w:t>
      </w:r>
      <w:r>
        <w:rPr>
          <w:i/>
        </w:rPr>
        <w:t>Alice</w:t>
      </w:r>
      <w:r>
        <w:t>.</w:t>
      </w:r>
    </w:p>
    <w:p w14:paraId="59287C05" w14:textId="77777777" w:rsidR="001B6146" w:rsidRDefault="00000000">
      <w:pPr>
        <w:spacing w:after="268"/>
        <w:ind w:left="-5" w:right="0"/>
      </w:pPr>
      <w:r>
        <w:t>Like with non-repeatable reads, there are two ways to avoid this phenomenon:</w:t>
      </w:r>
    </w:p>
    <w:p w14:paraId="012AC38E" w14:textId="77777777" w:rsidR="001B6146" w:rsidRDefault="00000000">
      <w:pPr>
        <w:numPr>
          <w:ilvl w:val="0"/>
          <w:numId w:val="3"/>
        </w:numPr>
        <w:spacing w:after="4"/>
        <w:ind w:left="499" w:right="0" w:hanging="188"/>
      </w:pPr>
      <w:r>
        <w:t>The first transaction can acquire shared locks on every read, therefore preventing the second transaction from updating these records.</w:t>
      </w:r>
    </w:p>
    <w:p w14:paraId="609CDC1A" w14:textId="77777777" w:rsidR="001B6146" w:rsidRDefault="00000000">
      <w:pPr>
        <w:numPr>
          <w:ilvl w:val="0"/>
          <w:numId w:val="3"/>
        </w:numPr>
        <w:ind w:left="499" w:right="0" w:hanging="188"/>
      </w:pPr>
      <w:r>
        <w:t>The first transaction can be aborted upon validating the commit constraints (when using an MVCC implementation of the Repeatable Read or Serializable isolation levels).</w:t>
      </w:r>
    </w:p>
    <w:p w14:paraId="7CB4B027" w14:textId="77777777" w:rsidR="001B6146" w:rsidRDefault="00000000">
      <w:pPr>
        <w:pStyle w:val="Heading2"/>
        <w:ind w:left="-5"/>
      </w:pPr>
      <w:r>
        <w:t>6.3.2.6 Write skew</w:t>
      </w:r>
    </w:p>
    <w:p w14:paraId="3AD6C440" w14:textId="77777777" w:rsidR="001B6146" w:rsidRDefault="00000000">
      <w:pPr>
        <w:spacing w:after="7"/>
        <w:ind w:left="-5" w:right="0"/>
      </w:pPr>
      <w:r>
        <w:t xml:space="preserve">Like read skew, this phenomenon involves disjoint writes over two different tables that are constrained to be updated as a unit. Whenever the </w:t>
      </w:r>
      <w:r>
        <w:rPr>
          <w:i/>
        </w:rPr>
        <w:t xml:space="preserve">post </w:t>
      </w:r>
      <w:r>
        <w:t xml:space="preserve">row changes, the client must update the </w:t>
      </w:r>
      <w:r>
        <w:rPr>
          <w:i/>
        </w:rPr>
        <w:t xml:space="preserve">post_details </w:t>
      </w:r>
      <w:r>
        <w:t>with the user making the change.</w:t>
      </w:r>
    </w:p>
    <w:p w14:paraId="5C339D4C" w14:textId="77777777" w:rsidR="001B6146" w:rsidRDefault="00000000">
      <w:pPr>
        <w:spacing w:after="87" w:line="259" w:lineRule="auto"/>
        <w:ind w:left="0" w:right="0" w:firstLine="0"/>
        <w:jc w:val="left"/>
      </w:pPr>
      <w:r>
        <w:rPr>
          <w:noProof/>
        </w:rPr>
        <w:lastRenderedPageBreak/>
        <w:drawing>
          <wp:inline distT="0" distB="0" distL="0" distR="0" wp14:anchorId="3DA4F642" wp14:editId="7C881179">
            <wp:extent cx="5943613" cy="4386326"/>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3"/>
                    <a:stretch>
                      <a:fillRect/>
                    </a:stretch>
                  </pic:blipFill>
                  <pic:spPr>
                    <a:xfrm>
                      <a:off x="0" y="0"/>
                      <a:ext cx="5943613" cy="4386326"/>
                    </a:xfrm>
                    <a:prstGeom prst="rect">
                      <a:avLst/>
                    </a:prstGeom>
                  </pic:spPr>
                </pic:pic>
              </a:graphicData>
            </a:graphic>
          </wp:inline>
        </w:drawing>
      </w:r>
    </w:p>
    <w:p w14:paraId="4326427A" w14:textId="77777777" w:rsidR="001B6146" w:rsidRDefault="00000000">
      <w:pPr>
        <w:pStyle w:val="Heading3"/>
      </w:pPr>
      <w:r>
        <w:t>Figure 6.9: Write skew</w:t>
      </w:r>
    </w:p>
    <w:p w14:paraId="2DD1224E" w14:textId="77777777" w:rsidR="001B6146" w:rsidRDefault="00000000">
      <w:pPr>
        <w:ind w:left="-5" w:right="0"/>
      </w:pPr>
      <w:r>
        <w:t xml:space="preserve">Both </w:t>
      </w:r>
      <w:r>
        <w:rPr>
          <w:i/>
        </w:rPr>
        <w:t xml:space="preserve">Alice </w:t>
      </w:r>
      <w:r>
        <w:t xml:space="preserve">and </w:t>
      </w:r>
      <w:r>
        <w:rPr>
          <w:i/>
        </w:rPr>
        <w:t xml:space="preserve">Bob </w:t>
      </w:r>
      <w:r>
        <w:t xml:space="preserve">selects the </w:t>
      </w:r>
      <w:r>
        <w:rPr>
          <w:i/>
        </w:rPr>
        <w:t xml:space="preserve">post </w:t>
      </w:r>
      <w:r>
        <w:t xml:space="preserve">and its associated </w:t>
      </w:r>
      <w:r>
        <w:rPr>
          <w:i/>
        </w:rPr>
        <w:t xml:space="preserve">post_details </w:t>
      </w:r>
      <w:r>
        <w:t xml:space="preserve">record. If write skew is allowed, </w:t>
      </w:r>
      <w:r>
        <w:rPr>
          <w:i/>
        </w:rPr>
        <w:t xml:space="preserve">Alice </w:t>
      </w:r>
      <w:r>
        <w:t xml:space="preserve">and </w:t>
      </w:r>
      <w:r>
        <w:rPr>
          <w:i/>
        </w:rPr>
        <w:t xml:space="preserve">Bob </w:t>
      </w:r>
      <w:r>
        <w:t>can update these two records separately, therefore breaking the constraint.</w:t>
      </w:r>
    </w:p>
    <w:p w14:paraId="4B1DD7F6" w14:textId="77777777" w:rsidR="001B6146" w:rsidRDefault="00000000">
      <w:pPr>
        <w:spacing w:after="370"/>
        <w:ind w:left="-5" w:right="0"/>
      </w:pPr>
      <w:r>
        <w:t>Like with non-repeatable reads, there are two ways to avoid this phenomenon:</w:t>
      </w:r>
    </w:p>
    <w:p w14:paraId="52F2D919" w14:textId="77777777" w:rsidR="001B6146" w:rsidRDefault="00000000">
      <w:pPr>
        <w:numPr>
          <w:ilvl w:val="0"/>
          <w:numId w:val="4"/>
        </w:numPr>
        <w:spacing w:after="7"/>
        <w:ind w:left="499" w:right="0" w:hanging="188"/>
      </w:pPr>
      <w:r>
        <w:t>The first transaction can acquire shared locks on both entries, therefore preventing the second transaction from updating these records.</w:t>
      </w:r>
    </w:p>
    <w:p w14:paraId="497F8107" w14:textId="77777777" w:rsidR="001B6146" w:rsidRDefault="00000000">
      <w:pPr>
        <w:numPr>
          <w:ilvl w:val="0"/>
          <w:numId w:val="4"/>
        </w:numPr>
        <w:ind w:left="499" w:right="0" w:hanging="188"/>
      </w:pPr>
      <w:r>
        <w:t>The database engine can detect that another transaction has changed these records, and so it can force the first transaction to roll back (under an MVCC implementation of Repeatable Read or Serializable).</w:t>
      </w:r>
    </w:p>
    <w:p w14:paraId="3B85C76E" w14:textId="77777777" w:rsidR="001B6146" w:rsidRDefault="00000000">
      <w:pPr>
        <w:pStyle w:val="Heading2"/>
        <w:ind w:left="-5"/>
      </w:pPr>
      <w:r>
        <w:t>6.3.2.7 Lost update</w:t>
      </w:r>
    </w:p>
    <w:p w14:paraId="1640914B" w14:textId="77777777" w:rsidR="001B6146" w:rsidRDefault="00000000">
      <w:pPr>
        <w:spacing w:after="7"/>
        <w:ind w:left="-5" w:right="0"/>
      </w:pPr>
      <w:r>
        <w:t xml:space="preserve">This phenomenon happens when a transaction reads a row while another transaction modifies it prior to the first transaction to finish. In the following example, </w:t>
      </w:r>
      <w:r>
        <w:rPr>
          <w:i/>
        </w:rPr>
        <w:t xml:space="preserve">Bob’s </w:t>
      </w:r>
      <w:r>
        <w:t xml:space="preserve">update is silently overwritten by </w:t>
      </w:r>
      <w:r>
        <w:rPr>
          <w:i/>
        </w:rPr>
        <w:t>Alice</w:t>
      </w:r>
      <w:r>
        <w:t>, who is not aware of the record update.</w:t>
      </w:r>
    </w:p>
    <w:p w14:paraId="4612A4EA" w14:textId="77777777" w:rsidR="001B6146" w:rsidRDefault="00000000">
      <w:pPr>
        <w:spacing w:after="87" w:line="259" w:lineRule="auto"/>
        <w:ind w:left="0" w:right="0" w:firstLine="0"/>
        <w:jc w:val="left"/>
      </w:pPr>
      <w:r>
        <w:rPr>
          <w:noProof/>
        </w:rPr>
        <w:lastRenderedPageBreak/>
        <w:drawing>
          <wp:inline distT="0" distB="0" distL="0" distR="0" wp14:anchorId="0B134473" wp14:editId="7D359C0E">
            <wp:extent cx="5943613" cy="4108907"/>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4"/>
                    <a:stretch>
                      <a:fillRect/>
                    </a:stretch>
                  </pic:blipFill>
                  <pic:spPr>
                    <a:xfrm>
                      <a:off x="0" y="0"/>
                      <a:ext cx="5943613" cy="4108907"/>
                    </a:xfrm>
                    <a:prstGeom prst="rect">
                      <a:avLst/>
                    </a:prstGeom>
                  </pic:spPr>
                </pic:pic>
              </a:graphicData>
            </a:graphic>
          </wp:inline>
        </w:drawing>
      </w:r>
    </w:p>
    <w:p w14:paraId="544D8776" w14:textId="77777777" w:rsidR="001B6146" w:rsidRDefault="00000000">
      <w:pPr>
        <w:pStyle w:val="Heading3"/>
      </w:pPr>
      <w:r>
        <w:t>Figure 6.10: Lost update</w:t>
      </w:r>
    </w:p>
    <w:p w14:paraId="3D52ADA2" w14:textId="77777777" w:rsidR="001B6146" w:rsidRDefault="00000000">
      <w:pPr>
        <w:ind w:left="-5" w:right="0"/>
      </w:pPr>
      <w:r>
        <w:t>This anomaly can have serious consequences on data integrity (a buyer might purchase a product without knowing the price has just changed), especially because it affects Read Committed, the default isolation level in many database systems.</w:t>
      </w:r>
    </w:p>
    <w:p w14:paraId="27DBEBAE" w14:textId="77777777" w:rsidR="001B6146" w:rsidRDefault="00000000">
      <w:pPr>
        <w:ind w:left="-5" w:right="0"/>
      </w:pPr>
      <w:r>
        <w:t>Traditionally, Repeatable Read protected against lost updates since the shared locks could prevent a concurrent transaction from modifying an already fetched record. With MVCC, the second transaction is allowed to make the change, while the first transaction is aborted when the database engine detects the row version mismatch (during the first transaction commit).</w:t>
      </w:r>
    </w:p>
    <w:p w14:paraId="3AED4528" w14:textId="77777777" w:rsidR="001B6146" w:rsidRDefault="00000000">
      <w:pPr>
        <w:ind w:left="-5" w:right="0"/>
      </w:pPr>
      <w:r>
        <w:t>Most ORM tools, such as Hibernate, offer application-level optimistic locking, which automatically integrates the row version whenever a record modification is issued. On a row version mismatch, the update count is going to be zero, so the application can roll back the current transaction, as the current data snapshot is stale.</w:t>
      </w:r>
    </w:p>
    <w:p w14:paraId="3B82EC4B" w14:textId="77777777" w:rsidR="001B6146" w:rsidRDefault="00000000">
      <w:pPr>
        <w:pStyle w:val="Heading1"/>
        <w:pBdr>
          <w:top w:val="none" w:sz="0" w:space="0" w:color="auto"/>
          <w:left w:val="none" w:sz="0" w:space="0" w:color="auto"/>
          <w:bottom w:val="none" w:sz="0" w:space="0" w:color="auto"/>
          <w:right w:val="none" w:sz="0" w:space="0" w:color="auto"/>
        </w:pBdr>
        <w:shd w:val="clear" w:color="auto" w:fill="auto"/>
        <w:spacing w:after="182"/>
        <w:ind w:left="-5"/>
      </w:pPr>
      <w:r>
        <w:t>6.3.3 Isolation levels</w:t>
      </w:r>
    </w:p>
    <w:p w14:paraId="28AFCE24" w14:textId="77777777" w:rsidR="001B6146" w:rsidRDefault="00000000">
      <w:pPr>
        <w:ind w:left="-5" w:right="0"/>
      </w:pPr>
      <w:r>
        <w:t>As previously stated, Serializable is the only isolation level to provide a truly ACID transaction interleaving. However, serializability comes at a price as locking introduces contention, which, in turn, limits concurrency and scalability. Even in multi-version concurrency models, serializability may require aborting too many transactions that are affected by phenomena.</w:t>
      </w:r>
    </w:p>
    <w:p w14:paraId="7B840D32" w14:textId="77777777" w:rsidR="001B6146" w:rsidRDefault="00000000">
      <w:pPr>
        <w:spacing w:after="391"/>
        <w:ind w:left="-5" w:right="0"/>
      </w:pPr>
      <w:r>
        <w:lastRenderedPageBreak/>
        <w:t>For this purpose, the SQL-92 version introduced multiple isolation levels, and the database client has the option of balancing concurrency against data correctness. Each isolation level is defined in terms of the minimum number of phenomena that it must prevent, and so the SQL standard introduces the following transaction isolation levels:</w:t>
      </w:r>
    </w:p>
    <w:p w14:paraId="13FB3A5E" w14:textId="77777777" w:rsidR="001B6146" w:rsidRDefault="00000000">
      <w:pPr>
        <w:pStyle w:val="Heading2"/>
        <w:spacing w:after="0" w:line="259" w:lineRule="auto"/>
        <w:ind w:right="66"/>
        <w:jc w:val="center"/>
      </w:pPr>
      <w:r>
        <w:rPr>
          <w:rFonts w:ascii="Times New Roman" w:eastAsia="Times New Roman" w:hAnsi="Times New Roman" w:cs="Times New Roman"/>
          <w:sz w:val="18"/>
        </w:rPr>
        <w:t>Table 6.1: Standard isolation levels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3033"/>
        <w:gridCol w:w="1790"/>
        <w:gridCol w:w="2832"/>
        <w:gridCol w:w="1705"/>
      </w:tblGrid>
      <w:tr w:rsidR="001B6146" w14:paraId="30168AA8" w14:textId="77777777">
        <w:trPr>
          <w:trHeight w:val="261"/>
        </w:trPr>
        <w:tc>
          <w:tcPr>
            <w:tcW w:w="3033" w:type="dxa"/>
            <w:tcBorders>
              <w:top w:val="nil"/>
              <w:left w:val="nil"/>
              <w:bottom w:val="nil"/>
              <w:right w:val="nil"/>
            </w:tcBorders>
          </w:tcPr>
          <w:p w14:paraId="27FADDB9" w14:textId="77777777" w:rsidR="001B6146" w:rsidRDefault="00000000">
            <w:pPr>
              <w:spacing w:after="0" w:line="259" w:lineRule="auto"/>
              <w:ind w:left="120" w:right="0" w:firstLine="0"/>
              <w:jc w:val="left"/>
            </w:pPr>
            <w:r>
              <w:rPr>
                <w:b/>
                <w:sz w:val="20"/>
              </w:rPr>
              <w:t>Isolation Level</w:t>
            </w:r>
          </w:p>
        </w:tc>
        <w:tc>
          <w:tcPr>
            <w:tcW w:w="1790" w:type="dxa"/>
            <w:tcBorders>
              <w:top w:val="nil"/>
              <w:left w:val="nil"/>
              <w:bottom w:val="nil"/>
              <w:right w:val="nil"/>
            </w:tcBorders>
          </w:tcPr>
          <w:p w14:paraId="5E18D72D" w14:textId="77777777" w:rsidR="001B6146" w:rsidRDefault="00000000">
            <w:pPr>
              <w:spacing w:after="0" w:line="259" w:lineRule="auto"/>
              <w:ind w:left="0" w:right="0" w:firstLine="0"/>
              <w:jc w:val="left"/>
            </w:pPr>
            <w:r>
              <w:rPr>
                <w:b/>
                <w:sz w:val="20"/>
              </w:rPr>
              <w:t>Dirty read</w:t>
            </w:r>
          </w:p>
        </w:tc>
        <w:tc>
          <w:tcPr>
            <w:tcW w:w="2832" w:type="dxa"/>
            <w:tcBorders>
              <w:top w:val="nil"/>
              <w:left w:val="nil"/>
              <w:bottom w:val="nil"/>
              <w:right w:val="nil"/>
            </w:tcBorders>
          </w:tcPr>
          <w:p w14:paraId="7A03B26F" w14:textId="77777777" w:rsidR="001B6146" w:rsidRDefault="00000000">
            <w:pPr>
              <w:spacing w:after="0" w:line="259" w:lineRule="auto"/>
              <w:ind w:left="0" w:right="0" w:firstLine="0"/>
              <w:jc w:val="left"/>
            </w:pPr>
            <w:r>
              <w:rPr>
                <w:b/>
                <w:sz w:val="20"/>
              </w:rPr>
              <w:t>Non-repeatable read</w:t>
            </w:r>
          </w:p>
        </w:tc>
        <w:tc>
          <w:tcPr>
            <w:tcW w:w="1705" w:type="dxa"/>
            <w:tcBorders>
              <w:top w:val="nil"/>
              <w:left w:val="nil"/>
              <w:bottom w:val="nil"/>
              <w:right w:val="nil"/>
            </w:tcBorders>
          </w:tcPr>
          <w:p w14:paraId="7AE14B66" w14:textId="77777777" w:rsidR="001B6146" w:rsidRDefault="00000000">
            <w:pPr>
              <w:spacing w:after="0" w:line="259" w:lineRule="auto"/>
              <w:ind w:left="0" w:right="0" w:firstLine="0"/>
              <w:jc w:val="left"/>
            </w:pPr>
            <w:r>
              <w:rPr>
                <w:b/>
                <w:sz w:val="20"/>
              </w:rPr>
              <w:t>Phantom read</w:t>
            </w:r>
          </w:p>
        </w:tc>
      </w:tr>
      <w:tr w:rsidR="001B6146" w14:paraId="3D1D7A22" w14:textId="77777777">
        <w:trPr>
          <w:trHeight w:val="252"/>
        </w:trPr>
        <w:tc>
          <w:tcPr>
            <w:tcW w:w="3033" w:type="dxa"/>
            <w:tcBorders>
              <w:top w:val="nil"/>
              <w:left w:val="nil"/>
              <w:bottom w:val="nil"/>
              <w:right w:val="nil"/>
            </w:tcBorders>
          </w:tcPr>
          <w:p w14:paraId="6BD21995" w14:textId="77777777" w:rsidR="001B6146" w:rsidRDefault="00000000">
            <w:pPr>
              <w:spacing w:after="0" w:line="259" w:lineRule="auto"/>
              <w:ind w:left="120" w:right="0" w:firstLine="0"/>
              <w:jc w:val="left"/>
            </w:pPr>
            <w:r>
              <w:rPr>
                <w:sz w:val="20"/>
              </w:rPr>
              <w:t>Read Uncommitted</w:t>
            </w:r>
          </w:p>
        </w:tc>
        <w:tc>
          <w:tcPr>
            <w:tcW w:w="1790" w:type="dxa"/>
            <w:tcBorders>
              <w:top w:val="nil"/>
              <w:left w:val="nil"/>
              <w:bottom w:val="nil"/>
              <w:right w:val="nil"/>
            </w:tcBorders>
          </w:tcPr>
          <w:p w14:paraId="762C5F10" w14:textId="77777777" w:rsidR="001B6146" w:rsidRDefault="00000000">
            <w:pPr>
              <w:spacing w:after="0" w:line="259" w:lineRule="auto"/>
              <w:ind w:left="329"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CB0D2B4" wp14:editId="7690028D">
                      <wp:simplePos x="0" y="0"/>
                      <wp:positionH relativeFrom="column">
                        <wp:posOffset>-1925992</wp:posOffset>
                      </wp:positionH>
                      <wp:positionV relativeFrom="paragraph">
                        <wp:posOffset>5335</wp:posOffset>
                      </wp:positionV>
                      <wp:extent cx="5943613" cy="5061"/>
                      <wp:effectExtent l="0" t="0" r="0" b="0"/>
                      <wp:wrapNone/>
                      <wp:docPr id="19481" name="Group 19481"/>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318" name="Shape 318"/>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81" style="width:468.001pt;height:0.3985pt;position:absolute;z-index:-2147483631;mso-position-horizontal-relative:text;mso-position-horizontal:absolute;margin-left:-151.653pt;mso-position-vertical-relative:text;margin-top:0.420105pt;" coordsize="59436,50">
                      <v:shape id="Shape 318" style="position:absolute;width:59436;height:0;left:0;top:0;" coordsize="5943613,0" path="m0,0l5943613,0">
                        <v:stroke weight="0.3985pt" endcap="flat" joinstyle="miter" miterlimit="10" on="true" color="#000000"/>
                        <v:fill on="false" color="#000000" opacity="0"/>
                      </v:shape>
                      <v:shape id="Shape 319" style="position:absolute;width:59436;height:0;left:0;top:0;" coordsize="5943613,0" path="m0,0l5943613,0">
                        <v:stroke weight="0.3985pt" endcap="flat" joinstyle="miter" miterlimit="10" on="true" color="#000000"/>
                        <v:fill on="false" color="#000000" opacity="0"/>
                      </v:shape>
                    </v:group>
                  </w:pict>
                </mc:Fallback>
              </mc:AlternateContent>
            </w:r>
            <w:r>
              <w:rPr>
                <w:sz w:val="20"/>
              </w:rPr>
              <w:t>Yes</w:t>
            </w:r>
          </w:p>
        </w:tc>
        <w:tc>
          <w:tcPr>
            <w:tcW w:w="2832" w:type="dxa"/>
            <w:tcBorders>
              <w:top w:val="nil"/>
              <w:left w:val="nil"/>
              <w:bottom w:val="nil"/>
              <w:right w:val="nil"/>
            </w:tcBorders>
          </w:tcPr>
          <w:p w14:paraId="1F47E56C" w14:textId="77777777" w:rsidR="001B6146" w:rsidRDefault="00000000">
            <w:pPr>
              <w:spacing w:after="0" w:line="259" w:lineRule="auto"/>
              <w:ind w:left="814" w:right="0" w:firstLine="0"/>
              <w:jc w:val="left"/>
            </w:pPr>
            <w:r>
              <w:rPr>
                <w:sz w:val="20"/>
              </w:rPr>
              <w:t>Yes</w:t>
            </w:r>
          </w:p>
        </w:tc>
        <w:tc>
          <w:tcPr>
            <w:tcW w:w="1705" w:type="dxa"/>
            <w:tcBorders>
              <w:top w:val="nil"/>
              <w:left w:val="nil"/>
              <w:bottom w:val="nil"/>
              <w:right w:val="nil"/>
            </w:tcBorders>
          </w:tcPr>
          <w:p w14:paraId="24391669" w14:textId="77777777" w:rsidR="001B6146" w:rsidRDefault="00000000">
            <w:pPr>
              <w:spacing w:after="0" w:line="259" w:lineRule="auto"/>
              <w:ind w:left="504" w:right="0" w:firstLine="0"/>
              <w:jc w:val="left"/>
            </w:pPr>
            <w:r>
              <w:rPr>
                <w:sz w:val="20"/>
              </w:rPr>
              <w:t>Yes</w:t>
            </w:r>
          </w:p>
        </w:tc>
      </w:tr>
      <w:tr w:rsidR="001B6146" w14:paraId="29E2DABB" w14:textId="77777777">
        <w:trPr>
          <w:trHeight w:val="248"/>
        </w:trPr>
        <w:tc>
          <w:tcPr>
            <w:tcW w:w="3033" w:type="dxa"/>
            <w:tcBorders>
              <w:top w:val="nil"/>
              <w:left w:val="nil"/>
              <w:bottom w:val="nil"/>
              <w:right w:val="nil"/>
            </w:tcBorders>
          </w:tcPr>
          <w:p w14:paraId="2EE348D6" w14:textId="77777777" w:rsidR="001B6146" w:rsidRDefault="00000000">
            <w:pPr>
              <w:spacing w:after="0" w:line="259" w:lineRule="auto"/>
              <w:ind w:left="120" w:right="0" w:firstLine="0"/>
              <w:jc w:val="left"/>
            </w:pPr>
            <w:r>
              <w:rPr>
                <w:sz w:val="20"/>
              </w:rPr>
              <w:t>Read Committed</w:t>
            </w:r>
          </w:p>
        </w:tc>
        <w:tc>
          <w:tcPr>
            <w:tcW w:w="1790" w:type="dxa"/>
            <w:tcBorders>
              <w:top w:val="nil"/>
              <w:left w:val="nil"/>
              <w:bottom w:val="nil"/>
              <w:right w:val="nil"/>
            </w:tcBorders>
          </w:tcPr>
          <w:p w14:paraId="606E1574" w14:textId="77777777" w:rsidR="001B6146" w:rsidRDefault="00000000">
            <w:pPr>
              <w:spacing w:after="0" w:line="259" w:lineRule="auto"/>
              <w:ind w:left="354" w:right="0" w:firstLine="0"/>
              <w:jc w:val="left"/>
            </w:pPr>
            <w:r>
              <w:rPr>
                <w:sz w:val="20"/>
              </w:rPr>
              <w:t>No</w:t>
            </w:r>
          </w:p>
        </w:tc>
        <w:tc>
          <w:tcPr>
            <w:tcW w:w="2832" w:type="dxa"/>
            <w:tcBorders>
              <w:top w:val="nil"/>
              <w:left w:val="nil"/>
              <w:bottom w:val="nil"/>
              <w:right w:val="nil"/>
            </w:tcBorders>
          </w:tcPr>
          <w:p w14:paraId="7A39E990" w14:textId="77777777" w:rsidR="001B6146" w:rsidRDefault="00000000">
            <w:pPr>
              <w:spacing w:after="0" w:line="259" w:lineRule="auto"/>
              <w:ind w:left="814" w:right="0" w:firstLine="0"/>
              <w:jc w:val="left"/>
            </w:pPr>
            <w:r>
              <w:rPr>
                <w:sz w:val="20"/>
              </w:rPr>
              <w:t>Yes</w:t>
            </w:r>
          </w:p>
        </w:tc>
        <w:tc>
          <w:tcPr>
            <w:tcW w:w="1705" w:type="dxa"/>
            <w:tcBorders>
              <w:top w:val="nil"/>
              <w:left w:val="nil"/>
              <w:bottom w:val="nil"/>
              <w:right w:val="nil"/>
            </w:tcBorders>
          </w:tcPr>
          <w:p w14:paraId="1AC24522" w14:textId="77777777" w:rsidR="001B6146" w:rsidRDefault="00000000">
            <w:pPr>
              <w:spacing w:after="0" w:line="259" w:lineRule="auto"/>
              <w:ind w:left="504" w:right="0" w:firstLine="0"/>
              <w:jc w:val="left"/>
            </w:pPr>
            <w:r>
              <w:rPr>
                <w:sz w:val="20"/>
              </w:rPr>
              <w:t>Yes</w:t>
            </w:r>
          </w:p>
        </w:tc>
      </w:tr>
      <w:tr w:rsidR="001B6146" w14:paraId="2DBD2DC8" w14:textId="77777777">
        <w:trPr>
          <w:trHeight w:val="248"/>
        </w:trPr>
        <w:tc>
          <w:tcPr>
            <w:tcW w:w="3033" w:type="dxa"/>
            <w:tcBorders>
              <w:top w:val="nil"/>
              <w:left w:val="nil"/>
              <w:bottom w:val="nil"/>
              <w:right w:val="nil"/>
            </w:tcBorders>
          </w:tcPr>
          <w:p w14:paraId="7EEE064E" w14:textId="77777777" w:rsidR="001B6146" w:rsidRDefault="00000000">
            <w:pPr>
              <w:spacing w:after="0" w:line="259" w:lineRule="auto"/>
              <w:ind w:left="120" w:right="0" w:firstLine="0"/>
              <w:jc w:val="left"/>
            </w:pPr>
            <w:r>
              <w:rPr>
                <w:sz w:val="20"/>
              </w:rPr>
              <w:t>Repeatable Read</w:t>
            </w:r>
          </w:p>
        </w:tc>
        <w:tc>
          <w:tcPr>
            <w:tcW w:w="1790" w:type="dxa"/>
            <w:tcBorders>
              <w:top w:val="nil"/>
              <w:left w:val="nil"/>
              <w:bottom w:val="nil"/>
              <w:right w:val="nil"/>
            </w:tcBorders>
          </w:tcPr>
          <w:p w14:paraId="0C74DE64" w14:textId="77777777" w:rsidR="001B6146" w:rsidRDefault="00000000">
            <w:pPr>
              <w:spacing w:after="0" w:line="259" w:lineRule="auto"/>
              <w:ind w:left="354" w:right="0" w:firstLine="0"/>
              <w:jc w:val="left"/>
            </w:pPr>
            <w:r>
              <w:rPr>
                <w:sz w:val="20"/>
              </w:rPr>
              <w:t>No</w:t>
            </w:r>
          </w:p>
        </w:tc>
        <w:tc>
          <w:tcPr>
            <w:tcW w:w="2832" w:type="dxa"/>
            <w:tcBorders>
              <w:top w:val="nil"/>
              <w:left w:val="nil"/>
              <w:bottom w:val="nil"/>
              <w:right w:val="nil"/>
            </w:tcBorders>
          </w:tcPr>
          <w:p w14:paraId="7A846623" w14:textId="77777777" w:rsidR="001B6146" w:rsidRDefault="00000000">
            <w:pPr>
              <w:spacing w:after="0" w:line="259" w:lineRule="auto"/>
              <w:ind w:left="839" w:right="0" w:firstLine="0"/>
              <w:jc w:val="left"/>
            </w:pPr>
            <w:r>
              <w:rPr>
                <w:sz w:val="20"/>
              </w:rPr>
              <w:t>No</w:t>
            </w:r>
          </w:p>
        </w:tc>
        <w:tc>
          <w:tcPr>
            <w:tcW w:w="1705" w:type="dxa"/>
            <w:tcBorders>
              <w:top w:val="nil"/>
              <w:left w:val="nil"/>
              <w:bottom w:val="nil"/>
              <w:right w:val="nil"/>
            </w:tcBorders>
          </w:tcPr>
          <w:p w14:paraId="444F3551" w14:textId="77777777" w:rsidR="001B6146" w:rsidRDefault="00000000">
            <w:pPr>
              <w:spacing w:after="0" w:line="259" w:lineRule="auto"/>
              <w:ind w:left="504" w:right="0" w:firstLine="0"/>
              <w:jc w:val="left"/>
            </w:pPr>
            <w:r>
              <w:rPr>
                <w:sz w:val="20"/>
              </w:rPr>
              <w:t>Yes</w:t>
            </w:r>
          </w:p>
        </w:tc>
      </w:tr>
      <w:tr w:rsidR="001B6146" w14:paraId="0D9F0A8B" w14:textId="77777777">
        <w:trPr>
          <w:trHeight w:val="244"/>
        </w:trPr>
        <w:tc>
          <w:tcPr>
            <w:tcW w:w="3033" w:type="dxa"/>
            <w:tcBorders>
              <w:top w:val="nil"/>
              <w:left w:val="nil"/>
              <w:bottom w:val="nil"/>
              <w:right w:val="nil"/>
            </w:tcBorders>
          </w:tcPr>
          <w:p w14:paraId="4D9224D3" w14:textId="77777777" w:rsidR="001B6146" w:rsidRDefault="00000000">
            <w:pPr>
              <w:spacing w:after="0" w:line="259" w:lineRule="auto"/>
              <w:ind w:left="120" w:right="0" w:firstLine="0"/>
              <w:jc w:val="left"/>
            </w:pPr>
            <w:r>
              <w:rPr>
                <w:sz w:val="20"/>
              </w:rPr>
              <w:t>Serializable</w:t>
            </w:r>
          </w:p>
        </w:tc>
        <w:tc>
          <w:tcPr>
            <w:tcW w:w="1790" w:type="dxa"/>
            <w:tcBorders>
              <w:top w:val="nil"/>
              <w:left w:val="nil"/>
              <w:bottom w:val="nil"/>
              <w:right w:val="nil"/>
            </w:tcBorders>
          </w:tcPr>
          <w:p w14:paraId="7A9BA451" w14:textId="77777777" w:rsidR="001B6146" w:rsidRDefault="00000000">
            <w:pPr>
              <w:spacing w:after="0" w:line="259" w:lineRule="auto"/>
              <w:ind w:left="354" w:right="0" w:firstLine="0"/>
              <w:jc w:val="left"/>
            </w:pPr>
            <w:r>
              <w:rPr>
                <w:sz w:val="20"/>
              </w:rPr>
              <w:t>No</w:t>
            </w:r>
          </w:p>
        </w:tc>
        <w:tc>
          <w:tcPr>
            <w:tcW w:w="2832" w:type="dxa"/>
            <w:tcBorders>
              <w:top w:val="nil"/>
              <w:left w:val="nil"/>
              <w:bottom w:val="nil"/>
              <w:right w:val="nil"/>
            </w:tcBorders>
          </w:tcPr>
          <w:p w14:paraId="3FFBA652" w14:textId="77777777" w:rsidR="001B6146" w:rsidRDefault="00000000">
            <w:pPr>
              <w:spacing w:after="0" w:line="259" w:lineRule="auto"/>
              <w:ind w:left="839" w:right="0" w:firstLine="0"/>
              <w:jc w:val="left"/>
            </w:pPr>
            <w:r>
              <w:rPr>
                <w:sz w:val="20"/>
              </w:rPr>
              <w:t>No</w:t>
            </w:r>
          </w:p>
        </w:tc>
        <w:tc>
          <w:tcPr>
            <w:tcW w:w="1705" w:type="dxa"/>
            <w:tcBorders>
              <w:top w:val="nil"/>
              <w:left w:val="nil"/>
              <w:bottom w:val="nil"/>
              <w:right w:val="nil"/>
            </w:tcBorders>
          </w:tcPr>
          <w:p w14:paraId="34286B09" w14:textId="77777777" w:rsidR="001B6146" w:rsidRDefault="00000000">
            <w:pPr>
              <w:spacing w:after="0" w:line="259" w:lineRule="auto"/>
              <w:ind w:left="529" w:right="0" w:firstLine="0"/>
              <w:jc w:val="left"/>
            </w:pPr>
            <w:r>
              <w:rPr>
                <w:sz w:val="20"/>
              </w:rPr>
              <w:t>No</w:t>
            </w:r>
          </w:p>
        </w:tc>
      </w:tr>
    </w:tbl>
    <w:p w14:paraId="29643AE8" w14:textId="77777777" w:rsidR="001B6146" w:rsidRDefault="00000000">
      <w:pPr>
        <w:spacing w:after="202" w:line="477" w:lineRule="auto"/>
        <w:ind w:left="-5" w:right="0"/>
      </w:pPr>
      <w:r>
        <w:t xml:space="preserve">Without an explicit setting, the JDBC driver uses the default isolation level, which can be introspected using the </w:t>
      </w:r>
      <w:hyperlink r:id="rId15" w:anchor="getDefaultTransactionIsolation--">
        <w:r>
          <w:rPr>
            <w:rFonts w:ascii="Courier New" w:eastAsia="Courier New" w:hAnsi="Courier New" w:cs="Courier New"/>
            <w:color w:val="000099"/>
            <w:sz w:val="18"/>
          </w:rPr>
          <w:t>getDefaultTransactionIsolation()</w:t>
        </w:r>
      </w:hyperlink>
      <w:r>
        <w:rPr>
          <w:color w:val="000099"/>
          <w:sz w:val="24"/>
          <w:vertAlign w:val="superscript"/>
        </w:rPr>
        <w:footnoteReference w:id="2"/>
      </w:r>
      <w:r>
        <w:rPr>
          <w:color w:val="000099"/>
          <w:sz w:val="24"/>
          <w:vertAlign w:val="superscript"/>
        </w:rPr>
        <w:t xml:space="preserve"> </w:t>
      </w:r>
      <w:r>
        <w:t xml:space="preserve">method of the </w:t>
      </w:r>
      <w:r>
        <w:rPr>
          <w:rFonts w:ascii="Courier New" w:eastAsia="Courier New" w:hAnsi="Courier New" w:cs="Courier New"/>
          <w:sz w:val="18"/>
        </w:rPr>
        <w:t xml:space="preserve">DatabaseMetaData </w:t>
      </w:r>
      <w:r>
        <w:t xml:space="preserve">object: </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level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getMetaData</w:t>
      </w:r>
      <w:r>
        <w:rPr>
          <w:rFonts w:ascii="Courier New" w:eastAsia="Courier New" w:hAnsi="Courier New" w:cs="Courier New"/>
          <w:color w:val="666666"/>
          <w:sz w:val="20"/>
        </w:rPr>
        <w:t>().</w:t>
      </w:r>
      <w:r>
        <w:rPr>
          <w:rFonts w:ascii="Courier New" w:eastAsia="Courier New" w:hAnsi="Courier New" w:cs="Courier New"/>
          <w:color w:val="7D8F29"/>
          <w:sz w:val="20"/>
        </w:rPr>
        <w:t>getDefaultTransactionIsolation</w:t>
      </w:r>
      <w:r>
        <w:rPr>
          <w:rFonts w:ascii="Courier New" w:eastAsia="Courier New" w:hAnsi="Courier New" w:cs="Courier New"/>
          <w:color w:val="666666"/>
          <w:sz w:val="20"/>
        </w:rPr>
        <w:t>();</w:t>
      </w:r>
    </w:p>
    <w:p w14:paraId="0534A9E8" w14:textId="77777777" w:rsidR="001B6146" w:rsidRDefault="00000000">
      <w:pPr>
        <w:spacing w:after="307" w:line="312" w:lineRule="auto"/>
        <w:ind w:left="-5" w:right="0"/>
      </w:pPr>
      <w:r>
        <w:t xml:space="preserve">The default isolation level can be changed using the </w:t>
      </w:r>
      <w:hyperlink r:id="rId16" w:anchor="setTransactionIsolation-int-">
        <w:r>
          <w:rPr>
            <w:rFonts w:ascii="Courier New" w:eastAsia="Courier New" w:hAnsi="Courier New" w:cs="Courier New"/>
            <w:color w:val="000099"/>
            <w:sz w:val="18"/>
          </w:rPr>
          <w:t>setTransactionIsolation(int level)</w:t>
        </w:r>
      </w:hyperlink>
      <w:r>
        <w:rPr>
          <w:color w:val="000099"/>
          <w:vertAlign w:val="superscript"/>
        </w:rPr>
        <w:t xml:space="preserve">6 </w:t>
      </w:r>
      <w:r>
        <w:rPr>
          <w:rFonts w:ascii="Courier New" w:eastAsia="Courier New" w:hAnsi="Courier New" w:cs="Courier New"/>
          <w:sz w:val="18"/>
        </w:rPr>
        <w:t xml:space="preserve">Connection </w:t>
      </w:r>
      <w:r>
        <w:t>method.</w:t>
      </w:r>
    </w:p>
    <w:p w14:paraId="5066D1AB" w14:textId="77777777" w:rsidR="001B6146" w:rsidRDefault="00000000">
      <w:pPr>
        <w:spacing w:after="144" w:line="259" w:lineRule="auto"/>
        <w:ind w:left="0" w:right="0" w:firstLine="0"/>
        <w:jc w:val="left"/>
      </w:pP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setTransactionIsolation</w:t>
      </w:r>
      <w:r>
        <w:rPr>
          <w:rFonts w:ascii="Courier New" w:eastAsia="Courier New" w:hAnsi="Courier New" w:cs="Courier New"/>
          <w:color w:val="666666"/>
          <w:sz w:val="20"/>
        </w:rPr>
        <w:t>(</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TRANSACTION_SERIALIZABLE</w:t>
      </w:r>
      <w:r>
        <w:rPr>
          <w:rFonts w:ascii="Courier New" w:eastAsia="Courier New" w:hAnsi="Courier New" w:cs="Courier New"/>
          <w:color w:val="666666"/>
          <w:sz w:val="20"/>
        </w:rPr>
        <w:t>);</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686EBD61" w14:textId="77777777">
        <w:trPr>
          <w:trHeight w:val="199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386634B" w14:textId="77777777" w:rsidR="001B6146" w:rsidRDefault="00000000">
            <w:pPr>
              <w:spacing w:after="349" w:line="261" w:lineRule="auto"/>
              <w:ind w:left="0" w:right="0" w:firstLine="0"/>
            </w:pPr>
            <w:r>
              <w:rPr>
                <w:sz w:val="20"/>
              </w:rPr>
              <w:t>Even if ACID properties imply a serializable schedule, most relational database systems use a lower default isolation level instead:</w:t>
            </w:r>
          </w:p>
          <w:p w14:paraId="259BE361" w14:textId="77777777" w:rsidR="001B6146" w:rsidRDefault="00000000">
            <w:pPr>
              <w:spacing w:after="0" w:line="259" w:lineRule="auto"/>
              <w:ind w:left="319" w:right="3235" w:firstLine="0"/>
              <w:jc w:val="left"/>
            </w:pPr>
            <w:r>
              <w:rPr>
                <w:sz w:val="20"/>
              </w:rPr>
              <w:t>• Read Committed (Oracle, SQL Server, PostgreSQL) • Repeatable Read (MySQL).</w:t>
            </w:r>
          </w:p>
        </w:tc>
      </w:tr>
    </w:tbl>
    <w:p w14:paraId="7B641477" w14:textId="77777777" w:rsidR="001B6146" w:rsidRDefault="00000000">
      <w:pPr>
        <w:ind w:left="-5" w:right="0"/>
      </w:pPr>
      <w:r>
        <w:t>The following sections go through each particular transaction isolation level and demonstrate the actual list of phenomena that are prevented by a given database system.</w:t>
      </w:r>
    </w:p>
    <w:p w14:paraId="49721E74" w14:textId="77777777" w:rsidR="001B6146" w:rsidRDefault="00000000">
      <w:pPr>
        <w:pStyle w:val="Heading2"/>
        <w:spacing w:after="452"/>
        <w:ind w:left="-5"/>
      </w:pPr>
      <w:r>
        <w:t>6.3.3.1 Read Uncommitted</w:t>
      </w:r>
    </w:p>
    <w:tbl>
      <w:tblPr>
        <w:tblStyle w:val="TableGrid"/>
        <w:tblpPr w:vertAnchor="text" w:tblpX="120" w:tblpY="408"/>
        <w:tblOverlap w:val="never"/>
        <w:tblW w:w="8619" w:type="dxa"/>
        <w:tblInd w:w="0" w:type="dxa"/>
        <w:tblCellMar>
          <w:top w:w="0" w:type="dxa"/>
          <w:left w:w="0" w:type="dxa"/>
          <w:bottom w:w="0" w:type="dxa"/>
          <w:right w:w="0" w:type="dxa"/>
        </w:tblCellMar>
        <w:tblLook w:val="04A0" w:firstRow="1" w:lastRow="0" w:firstColumn="1" w:lastColumn="0" w:noHBand="0" w:noVBand="1"/>
      </w:tblPr>
      <w:tblGrid>
        <w:gridCol w:w="2309"/>
        <w:gridCol w:w="3869"/>
        <w:gridCol w:w="1752"/>
        <w:gridCol w:w="689"/>
      </w:tblGrid>
      <w:tr w:rsidR="001B6146" w14:paraId="1F22363D" w14:textId="77777777">
        <w:trPr>
          <w:trHeight w:val="261"/>
        </w:trPr>
        <w:tc>
          <w:tcPr>
            <w:tcW w:w="2312" w:type="dxa"/>
            <w:tcBorders>
              <w:top w:val="nil"/>
              <w:left w:val="nil"/>
              <w:bottom w:val="nil"/>
              <w:right w:val="nil"/>
            </w:tcBorders>
          </w:tcPr>
          <w:p w14:paraId="3A07207B" w14:textId="77777777" w:rsidR="001B6146" w:rsidRDefault="00000000">
            <w:pPr>
              <w:spacing w:after="0" w:line="259" w:lineRule="auto"/>
              <w:ind w:left="0" w:right="0" w:firstLine="0"/>
              <w:jc w:val="left"/>
            </w:pPr>
            <w:r>
              <w:rPr>
                <w:b/>
                <w:sz w:val="20"/>
              </w:rPr>
              <w:t>Phenomena</w:t>
            </w:r>
          </w:p>
        </w:tc>
        <w:tc>
          <w:tcPr>
            <w:tcW w:w="3874" w:type="dxa"/>
            <w:tcBorders>
              <w:top w:val="nil"/>
              <w:left w:val="nil"/>
              <w:bottom w:val="nil"/>
              <w:right w:val="nil"/>
            </w:tcBorders>
          </w:tcPr>
          <w:p w14:paraId="3E75EE71" w14:textId="77777777" w:rsidR="001B6146" w:rsidRDefault="00000000">
            <w:pPr>
              <w:spacing w:after="0" w:line="259" w:lineRule="auto"/>
              <w:ind w:left="730" w:right="0" w:firstLine="0"/>
              <w:jc w:val="center"/>
            </w:pPr>
            <w:r>
              <w:rPr>
                <w:b/>
                <w:sz w:val="20"/>
              </w:rPr>
              <w:t>SQL Server</w:t>
            </w:r>
          </w:p>
        </w:tc>
        <w:tc>
          <w:tcPr>
            <w:tcW w:w="1753" w:type="dxa"/>
            <w:tcBorders>
              <w:top w:val="nil"/>
              <w:left w:val="nil"/>
              <w:bottom w:val="nil"/>
              <w:right w:val="nil"/>
            </w:tcBorders>
          </w:tcPr>
          <w:p w14:paraId="4D494422" w14:textId="77777777" w:rsidR="001B6146" w:rsidRDefault="00000000">
            <w:pPr>
              <w:spacing w:after="0" w:line="259" w:lineRule="auto"/>
              <w:ind w:left="0" w:right="0" w:firstLine="0"/>
              <w:jc w:val="left"/>
            </w:pPr>
            <w:r>
              <w:rPr>
                <w:b/>
                <w:sz w:val="20"/>
              </w:rPr>
              <w:t>PostgreSQL</w:t>
            </w:r>
          </w:p>
        </w:tc>
        <w:tc>
          <w:tcPr>
            <w:tcW w:w="680" w:type="dxa"/>
            <w:tcBorders>
              <w:top w:val="nil"/>
              <w:left w:val="nil"/>
              <w:bottom w:val="nil"/>
              <w:right w:val="nil"/>
            </w:tcBorders>
          </w:tcPr>
          <w:p w14:paraId="0EC7B973" w14:textId="77777777" w:rsidR="001B6146" w:rsidRDefault="00000000">
            <w:pPr>
              <w:spacing w:after="0" w:line="259" w:lineRule="auto"/>
              <w:ind w:left="0" w:right="0" w:firstLine="0"/>
            </w:pPr>
            <w:r>
              <w:rPr>
                <w:b/>
                <w:sz w:val="20"/>
              </w:rPr>
              <w:t>MySQL</w:t>
            </w:r>
          </w:p>
        </w:tc>
      </w:tr>
      <w:tr w:rsidR="001B6146" w14:paraId="35EA649E" w14:textId="77777777">
        <w:trPr>
          <w:trHeight w:val="252"/>
        </w:trPr>
        <w:tc>
          <w:tcPr>
            <w:tcW w:w="2312" w:type="dxa"/>
            <w:tcBorders>
              <w:top w:val="nil"/>
              <w:left w:val="nil"/>
              <w:bottom w:val="nil"/>
              <w:right w:val="nil"/>
            </w:tcBorders>
          </w:tcPr>
          <w:p w14:paraId="7E87843E" w14:textId="77777777" w:rsidR="001B6146" w:rsidRDefault="00000000">
            <w:pPr>
              <w:spacing w:after="0" w:line="259" w:lineRule="auto"/>
              <w:ind w:left="0" w:right="0" w:firstLine="0"/>
              <w:jc w:val="left"/>
            </w:pPr>
            <w:r>
              <w:rPr>
                <w:sz w:val="20"/>
              </w:rPr>
              <w:t>Dirty Write</w:t>
            </w:r>
          </w:p>
        </w:tc>
        <w:tc>
          <w:tcPr>
            <w:tcW w:w="3874" w:type="dxa"/>
            <w:tcBorders>
              <w:top w:val="nil"/>
              <w:left w:val="nil"/>
              <w:bottom w:val="nil"/>
              <w:right w:val="nil"/>
            </w:tcBorders>
          </w:tcPr>
          <w:p w14:paraId="2FE946AB" w14:textId="77777777" w:rsidR="001B6146" w:rsidRDefault="00000000">
            <w:pPr>
              <w:spacing w:after="0" w:line="259" w:lineRule="auto"/>
              <w:ind w:left="730" w:right="0" w:firstLine="0"/>
              <w:jc w:val="center"/>
            </w:pPr>
            <w:r>
              <w:rPr>
                <w:sz w:val="20"/>
              </w:rPr>
              <w:t>No</w:t>
            </w:r>
          </w:p>
        </w:tc>
        <w:tc>
          <w:tcPr>
            <w:tcW w:w="1753" w:type="dxa"/>
            <w:tcBorders>
              <w:top w:val="nil"/>
              <w:left w:val="nil"/>
              <w:bottom w:val="nil"/>
              <w:right w:val="nil"/>
            </w:tcBorders>
          </w:tcPr>
          <w:p w14:paraId="2348E99C" w14:textId="77777777" w:rsidR="001B6146" w:rsidRDefault="00000000">
            <w:pPr>
              <w:spacing w:after="0" w:line="259" w:lineRule="auto"/>
              <w:ind w:left="421" w:right="0" w:firstLine="0"/>
              <w:jc w:val="left"/>
            </w:pPr>
            <w:r>
              <w:rPr>
                <w:sz w:val="20"/>
              </w:rPr>
              <w:t>No</w:t>
            </w:r>
          </w:p>
        </w:tc>
        <w:tc>
          <w:tcPr>
            <w:tcW w:w="680" w:type="dxa"/>
            <w:tcBorders>
              <w:top w:val="nil"/>
              <w:left w:val="nil"/>
              <w:bottom w:val="nil"/>
              <w:right w:val="nil"/>
            </w:tcBorders>
          </w:tcPr>
          <w:p w14:paraId="3F36D732" w14:textId="77777777" w:rsidR="001B6146" w:rsidRDefault="00000000">
            <w:pPr>
              <w:spacing w:after="0" w:line="259" w:lineRule="auto"/>
              <w:ind w:left="0" w:right="0" w:firstLine="0"/>
              <w:jc w:val="left"/>
            </w:pPr>
            <w:r>
              <w:rPr>
                <w:sz w:val="20"/>
              </w:rPr>
              <w:t>No</w:t>
            </w:r>
          </w:p>
        </w:tc>
      </w:tr>
      <w:tr w:rsidR="001B6146" w14:paraId="011F64CA" w14:textId="77777777">
        <w:trPr>
          <w:trHeight w:val="248"/>
        </w:trPr>
        <w:tc>
          <w:tcPr>
            <w:tcW w:w="2312" w:type="dxa"/>
            <w:tcBorders>
              <w:top w:val="nil"/>
              <w:left w:val="nil"/>
              <w:bottom w:val="nil"/>
              <w:right w:val="nil"/>
            </w:tcBorders>
          </w:tcPr>
          <w:p w14:paraId="7C22D7DD" w14:textId="77777777" w:rsidR="001B6146" w:rsidRDefault="00000000">
            <w:pPr>
              <w:spacing w:after="0" w:line="259" w:lineRule="auto"/>
              <w:ind w:left="0" w:right="0" w:firstLine="0"/>
              <w:jc w:val="left"/>
            </w:pPr>
            <w:r>
              <w:rPr>
                <w:sz w:val="20"/>
              </w:rPr>
              <w:t>Dirty Read</w:t>
            </w:r>
          </w:p>
        </w:tc>
        <w:tc>
          <w:tcPr>
            <w:tcW w:w="3874" w:type="dxa"/>
            <w:tcBorders>
              <w:top w:val="nil"/>
              <w:left w:val="nil"/>
              <w:bottom w:val="nil"/>
              <w:right w:val="nil"/>
            </w:tcBorders>
          </w:tcPr>
          <w:p w14:paraId="5FC02AA6"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6A311BC3" w14:textId="77777777" w:rsidR="001B6146" w:rsidRDefault="00000000">
            <w:pPr>
              <w:spacing w:after="0" w:line="259" w:lineRule="auto"/>
              <w:ind w:left="421" w:right="0" w:firstLine="0"/>
              <w:jc w:val="left"/>
            </w:pPr>
            <w:r>
              <w:rPr>
                <w:sz w:val="20"/>
              </w:rPr>
              <w:t>No</w:t>
            </w:r>
          </w:p>
        </w:tc>
        <w:tc>
          <w:tcPr>
            <w:tcW w:w="680" w:type="dxa"/>
            <w:tcBorders>
              <w:top w:val="nil"/>
              <w:left w:val="nil"/>
              <w:bottom w:val="nil"/>
              <w:right w:val="nil"/>
            </w:tcBorders>
          </w:tcPr>
          <w:p w14:paraId="7902F289" w14:textId="77777777" w:rsidR="001B6146" w:rsidRDefault="00000000">
            <w:pPr>
              <w:spacing w:after="0" w:line="259" w:lineRule="auto"/>
              <w:ind w:left="0" w:right="0" w:firstLine="0"/>
              <w:jc w:val="left"/>
            </w:pPr>
            <w:r>
              <w:rPr>
                <w:sz w:val="20"/>
              </w:rPr>
              <w:t>Yes</w:t>
            </w:r>
          </w:p>
        </w:tc>
      </w:tr>
      <w:tr w:rsidR="001B6146" w14:paraId="0EF4AA94" w14:textId="77777777">
        <w:trPr>
          <w:trHeight w:val="248"/>
        </w:trPr>
        <w:tc>
          <w:tcPr>
            <w:tcW w:w="2312" w:type="dxa"/>
            <w:tcBorders>
              <w:top w:val="nil"/>
              <w:left w:val="nil"/>
              <w:bottom w:val="nil"/>
              <w:right w:val="nil"/>
            </w:tcBorders>
          </w:tcPr>
          <w:p w14:paraId="2C6A45F7" w14:textId="77777777" w:rsidR="001B6146" w:rsidRDefault="00000000">
            <w:pPr>
              <w:spacing w:after="0" w:line="259" w:lineRule="auto"/>
              <w:ind w:left="0" w:right="0" w:firstLine="0"/>
              <w:jc w:val="left"/>
            </w:pPr>
            <w:r>
              <w:rPr>
                <w:sz w:val="20"/>
              </w:rPr>
              <w:t>Non-Repeatable Read</w:t>
            </w:r>
          </w:p>
        </w:tc>
        <w:tc>
          <w:tcPr>
            <w:tcW w:w="3874" w:type="dxa"/>
            <w:tcBorders>
              <w:top w:val="nil"/>
              <w:left w:val="nil"/>
              <w:bottom w:val="nil"/>
              <w:right w:val="nil"/>
            </w:tcBorders>
          </w:tcPr>
          <w:p w14:paraId="040AF17F"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32DF4F2B" w14:textId="77777777" w:rsidR="001B6146" w:rsidRDefault="00000000">
            <w:pPr>
              <w:spacing w:after="0" w:line="259" w:lineRule="auto"/>
              <w:ind w:left="396" w:right="0" w:firstLine="0"/>
              <w:jc w:val="left"/>
            </w:pPr>
            <w:r>
              <w:rPr>
                <w:sz w:val="20"/>
              </w:rPr>
              <w:t>Yes</w:t>
            </w:r>
          </w:p>
        </w:tc>
        <w:tc>
          <w:tcPr>
            <w:tcW w:w="680" w:type="dxa"/>
            <w:tcBorders>
              <w:top w:val="nil"/>
              <w:left w:val="nil"/>
              <w:bottom w:val="nil"/>
              <w:right w:val="nil"/>
            </w:tcBorders>
          </w:tcPr>
          <w:p w14:paraId="3BED0564" w14:textId="77777777" w:rsidR="001B6146" w:rsidRDefault="00000000">
            <w:pPr>
              <w:spacing w:after="0" w:line="259" w:lineRule="auto"/>
              <w:ind w:left="0" w:right="0" w:firstLine="0"/>
              <w:jc w:val="left"/>
            </w:pPr>
            <w:r>
              <w:rPr>
                <w:sz w:val="20"/>
              </w:rPr>
              <w:t>Yes</w:t>
            </w:r>
          </w:p>
        </w:tc>
      </w:tr>
      <w:tr w:rsidR="001B6146" w14:paraId="4C559BBE" w14:textId="77777777">
        <w:trPr>
          <w:trHeight w:val="248"/>
        </w:trPr>
        <w:tc>
          <w:tcPr>
            <w:tcW w:w="2312" w:type="dxa"/>
            <w:tcBorders>
              <w:top w:val="nil"/>
              <w:left w:val="nil"/>
              <w:bottom w:val="nil"/>
              <w:right w:val="nil"/>
            </w:tcBorders>
          </w:tcPr>
          <w:p w14:paraId="5B40B872" w14:textId="77777777" w:rsidR="001B6146" w:rsidRDefault="00000000">
            <w:pPr>
              <w:spacing w:after="0" w:line="259" w:lineRule="auto"/>
              <w:ind w:left="0" w:right="0" w:firstLine="0"/>
              <w:jc w:val="left"/>
            </w:pPr>
            <w:r>
              <w:rPr>
                <w:sz w:val="20"/>
              </w:rPr>
              <w:t>Phantom Read</w:t>
            </w:r>
          </w:p>
        </w:tc>
        <w:tc>
          <w:tcPr>
            <w:tcW w:w="3874" w:type="dxa"/>
            <w:tcBorders>
              <w:top w:val="nil"/>
              <w:left w:val="nil"/>
              <w:bottom w:val="nil"/>
              <w:right w:val="nil"/>
            </w:tcBorders>
          </w:tcPr>
          <w:p w14:paraId="5CF0CE98"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1D328D9D" w14:textId="77777777" w:rsidR="001B6146" w:rsidRDefault="00000000">
            <w:pPr>
              <w:spacing w:after="0" w:line="259" w:lineRule="auto"/>
              <w:ind w:left="396" w:right="0" w:firstLine="0"/>
              <w:jc w:val="left"/>
            </w:pPr>
            <w:r>
              <w:rPr>
                <w:sz w:val="20"/>
              </w:rPr>
              <w:t>Yes</w:t>
            </w:r>
          </w:p>
        </w:tc>
        <w:tc>
          <w:tcPr>
            <w:tcW w:w="680" w:type="dxa"/>
            <w:tcBorders>
              <w:top w:val="nil"/>
              <w:left w:val="nil"/>
              <w:bottom w:val="nil"/>
              <w:right w:val="nil"/>
            </w:tcBorders>
          </w:tcPr>
          <w:p w14:paraId="376F8532" w14:textId="77777777" w:rsidR="001B6146" w:rsidRDefault="00000000">
            <w:pPr>
              <w:spacing w:after="0" w:line="259" w:lineRule="auto"/>
              <w:ind w:left="0" w:right="0" w:firstLine="0"/>
              <w:jc w:val="left"/>
            </w:pPr>
            <w:r>
              <w:rPr>
                <w:sz w:val="20"/>
              </w:rPr>
              <w:t>Yes</w:t>
            </w:r>
          </w:p>
        </w:tc>
      </w:tr>
      <w:tr w:rsidR="001B6146" w14:paraId="01BFE47F" w14:textId="77777777">
        <w:trPr>
          <w:trHeight w:val="248"/>
        </w:trPr>
        <w:tc>
          <w:tcPr>
            <w:tcW w:w="2312" w:type="dxa"/>
            <w:tcBorders>
              <w:top w:val="nil"/>
              <w:left w:val="nil"/>
              <w:bottom w:val="nil"/>
              <w:right w:val="nil"/>
            </w:tcBorders>
          </w:tcPr>
          <w:p w14:paraId="0B4493EE" w14:textId="77777777" w:rsidR="001B6146" w:rsidRDefault="00000000">
            <w:pPr>
              <w:spacing w:after="0" w:line="259" w:lineRule="auto"/>
              <w:ind w:left="0" w:right="0" w:firstLine="0"/>
              <w:jc w:val="left"/>
            </w:pPr>
            <w:r>
              <w:rPr>
                <w:sz w:val="20"/>
              </w:rPr>
              <w:t>Read Skew</w:t>
            </w:r>
          </w:p>
        </w:tc>
        <w:tc>
          <w:tcPr>
            <w:tcW w:w="3874" w:type="dxa"/>
            <w:tcBorders>
              <w:top w:val="nil"/>
              <w:left w:val="nil"/>
              <w:bottom w:val="nil"/>
              <w:right w:val="nil"/>
            </w:tcBorders>
          </w:tcPr>
          <w:p w14:paraId="60EBC503"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4FF1DCBB" w14:textId="77777777" w:rsidR="001B6146" w:rsidRDefault="00000000">
            <w:pPr>
              <w:spacing w:after="0" w:line="259" w:lineRule="auto"/>
              <w:ind w:left="396" w:right="0" w:firstLine="0"/>
              <w:jc w:val="left"/>
            </w:pPr>
            <w:r>
              <w:rPr>
                <w:sz w:val="20"/>
              </w:rPr>
              <w:t>Yes</w:t>
            </w:r>
          </w:p>
        </w:tc>
        <w:tc>
          <w:tcPr>
            <w:tcW w:w="680" w:type="dxa"/>
            <w:tcBorders>
              <w:top w:val="nil"/>
              <w:left w:val="nil"/>
              <w:bottom w:val="nil"/>
              <w:right w:val="nil"/>
            </w:tcBorders>
          </w:tcPr>
          <w:p w14:paraId="0CADC735" w14:textId="77777777" w:rsidR="001B6146" w:rsidRDefault="00000000">
            <w:pPr>
              <w:spacing w:after="0" w:line="259" w:lineRule="auto"/>
              <w:ind w:left="0" w:right="0" w:firstLine="0"/>
              <w:jc w:val="left"/>
            </w:pPr>
            <w:r>
              <w:rPr>
                <w:sz w:val="20"/>
              </w:rPr>
              <w:t>Yes</w:t>
            </w:r>
          </w:p>
        </w:tc>
      </w:tr>
      <w:tr w:rsidR="001B6146" w14:paraId="2EBA0198" w14:textId="77777777">
        <w:trPr>
          <w:trHeight w:val="248"/>
        </w:trPr>
        <w:tc>
          <w:tcPr>
            <w:tcW w:w="2312" w:type="dxa"/>
            <w:tcBorders>
              <w:top w:val="nil"/>
              <w:left w:val="nil"/>
              <w:bottom w:val="nil"/>
              <w:right w:val="nil"/>
            </w:tcBorders>
          </w:tcPr>
          <w:p w14:paraId="39AD7E01" w14:textId="77777777" w:rsidR="001B6146" w:rsidRDefault="00000000">
            <w:pPr>
              <w:spacing w:after="0" w:line="259" w:lineRule="auto"/>
              <w:ind w:left="0" w:right="0" w:firstLine="0"/>
              <w:jc w:val="left"/>
            </w:pPr>
            <w:r>
              <w:rPr>
                <w:sz w:val="20"/>
              </w:rPr>
              <w:t>Write Skew</w:t>
            </w:r>
          </w:p>
        </w:tc>
        <w:tc>
          <w:tcPr>
            <w:tcW w:w="3874" w:type="dxa"/>
            <w:tcBorders>
              <w:top w:val="nil"/>
              <w:left w:val="nil"/>
              <w:bottom w:val="nil"/>
              <w:right w:val="nil"/>
            </w:tcBorders>
          </w:tcPr>
          <w:p w14:paraId="4FC7CA1A"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3EA11AD7" w14:textId="77777777" w:rsidR="001B6146" w:rsidRDefault="00000000">
            <w:pPr>
              <w:spacing w:after="0" w:line="259" w:lineRule="auto"/>
              <w:ind w:left="396" w:right="0" w:firstLine="0"/>
              <w:jc w:val="left"/>
            </w:pPr>
            <w:r>
              <w:rPr>
                <w:sz w:val="20"/>
              </w:rPr>
              <w:t>Yes</w:t>
            </w:r>
          </w:p>
        </w:tc>
        <w:tc>
          <w:tcPr>
            <w:tcW w:w="680" w:type="dxa"/>
            <w:tcBorders>
              <w:top w:val="nil"/>
              <w:left w:val="nil"/>
              <w:bottom w:val="nil"/>
              <w:right w:val="nil"/>
            </w:tcBorders>
          </w:tcPr>
          <w:p w14:paraId="458F8A50" w14:textId="77777777" w:rsidR="001B6146" w:rsidRDefault="00000000">
            <w:pPr>
              <w:spacing w:after="0" w:line="259" w:lineRule="auto"/>
              <w:ind w:left="0" w:right="0" w:firstLine="0"/>
              <w:jc w:val="left"/>
            </w:pPr>
            <w:r>
              <w:rPr>
                <w:sz w:val="20"/>
              </w:rPr>
              <w:t>Yes</w:t>
            </w:r>
          </w:p>
        </w:tc>
      </w:tr>
      <w:tr w:rsidR="001B6146" w14:paraId="54A96F01" w14:textId="77777777">
        <w:trPr>
          <w:trHeight w:val="244"/>
        </w:trPr>
        <w:tc>
          <w:tcPr>
            <w:tcW w:w="2312" w:type="dxa"/>
            <w:tcBorders>
              <w:top w:val="nil"/>
              <w:left w:val="nil"/>
              <w:bottom w:val="nil"/>
              <w:right w:val="nil"/>
            </w:tcBorders>
          </w:tcPr>
          <w:p w14:paraId="30DBF897" w14:textId="77777777" w:rsidR="001B6146" w:rsidRDefault="00000000">
            <w:pPr>
              <w:spacing w:after="0" w:line="259" w:lineRule="auto"/>
              <w:ind w:left="0" w:right="0" w:firstLine="0"/>
              <w:jc w:val="left"/>
            </w:pPr>
            <w:r>
              <w:rPr>
                <w:sz w:val="20"/>
              </w:rPr>
              <w:lastRenderedPageBreak/>
              <w:t>Lost Update</w:t>
            </w:r>
          </w:p>
        </w:tc>
        <w:tc>
          <w:tcPr>
            <w:tcW w:w="3874" w:type="dxa"/>
            <w:tcBorders>
              <w:top w:val="nil"/>
              <w:left w:val="nil"/>
              <w:bottom w:val="nil"/>
              <w:right w:val="nil"/>
            </w:tcBorders>
          </w:tcPr>
          <w:p w14:paraId="01DC8091" w14:textId="77777777" w:rsidR="001B6146" w:rsidRDefault="00000000">
            <w:pPr>
              <w:spacing w:after="0" w:line="259" w:lineRule="auto"/>
              <w:ind w:left="730" w:right="0" w:firstLine="0"/>
              <w:jc w:val="center"/>
            </w:pPr>
            <w:r>
              <w:rPr>
                <w:sz w:val="20"/>
              </w:rPr>
              <w:t>Yes</w:t>
            </w:r>
          </w:p>
        </w:tc>
        <w:tc>
          <w:tcPr>
            <w:tcW w:w="1753" w:type="dxa"/>
            <w:tcBorders>
              <w:top w:val="nil"/>
              <w:left w:val="nil"/>
              <w:bottom w:val="nil"/>
              <w:right w:val="nil"/>
            </w:tcBorders>
          </w:tcPr>
          <w:p w14:paraId="033CE7A3" w14:textId="77777777" w:rsidR="001B6146" w:rsidRDefault="00000000">
            <w:pPr>
              <w:spacing w:after="0" w:line="259" w:lineRule="auto"/>
              <w:ind w:left="396" w:right="0" w:firstLine="0"/>
              <w:jc w:val="left"/>
            </w:pPr>
            <w:r>
              <w:rPr>
                <w:sz w:val="20"/>
              </w:rPr>
              <w:t>Yes</w:t>
            </w:r>
          </w:p>
        </w:tc>
        <w:tc>
          <w:tcPr>
            <w:tcW w:w="680" w:type="dxa"/>
            <w:tcBorders>
              <w:top w:val="nil"/>
              <w:left w:val="nil"/>
              <w:bottom w:val="nil"/>
              <w:right w:val="nil"/>
            </w:tcBorders>
          </w:tcPr>
          <w:p w14:paraId="528F0B18" w14:textId="77777777" w:rsidR="001B6146" w:rsidRDefault="00000000">
            <w:pPr>
              <w:spacing w:after="0" w:line="259" w:lineRule="auto"/>
              <w:ind w:left="0" w:right="0" w:firstLine="0"/>
              <w:jc w:val="left"/>
            </w:pPr>
            <w:r>
              <w:rPr>
                <w:sz w:val="20"/>
              </w:rPr>
              <w:t>Yes</w:t>
            </w:r>
          </w:p>
        </w:tc>
      </w:tr>
    </w:tbl>
    <w:p w14:paraId="03146304" w14:textId="77777777" w:rsidR="001B6146" w:rsidRDefault="00000000">
      <w:pPr>
        <w:pStyle w:val="Heading3"/>
        <w:spacing w:after="183"/>
        <w:ind w:right="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BEE026" wp14:editId="6EA9CE45">
                <wp:simplePos x="0" y="0"/>
                <wp:positionH relativeFrom="column">
                  <wp:posOffset>1</wp:posOffset>
                </wp:positionH>
                <wp:positionV relativeFrom="paragraph">
                  <wp:posOffset>434898</wp:posOffset>
                </wp:positionV>
                <wp:extent cx="5943600" cy="5061"/>
                <wp:effectExtent l="0" t="0" r="0" b="0"/>
                <wp:wrapSquare wrapText="bothSides"/>
                <wp:docPr id="18152" name="Group 18152"/>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412" name="Shape 4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3" name="Shape 4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52" style="width:468pt;height:0.3985pt;position:absolute;mso-position-horizontal-relative:text;mso-position-horizontal:absolute;margin-left:6.10352e-05pt;mso-position-vertical-relative:text;margin-top:34.2439pt;" coordsize="59436,50">
                <v:shape id="Shape 412" style="position:absolute;width:59436;height:0;left:0;top:0;" coordsize="5943600,0" path="m0,0l5943600,0">
                  <v:stroke weight="0.3985pt" endcap="flat" joinstyle="miter" miterlimit="10" on="true" color="#000000"/>
                  <v:fill on="false" color="#000000" opacity="0"/>
                </v:shape>
                <v:shape id="Shape 413" style="position:absolute;width:59436;height:0;left:0;top:0;" coordsize="5943600,0" path="m0,0l5943600,0">
                  <v:stroke weight="0.3985pt" endcap="flat" joinstyle="miter" miterlimit="10" on="true" color="#000000"/>
                  <v:fill on="false" color="#000000" opacity="0"/>
                </v:shape>
                <w10:wrap type="square"/>
              </v:group>
            </w:pict>
          </mc:Fallback>
        </mc:AlternateContent>
      </w:r>
      <w:r>
        <w:t>Table 6.2: Read Uncommitted phenomena occurrence</w:t>
      </w:r>
    </w:p>
    <w:tbl>
      <w:tblPr>
        <w:tblStyle w:val="TableGrid"/>
        <w:tblW w:w="9352" w:type="dxa"/>
        <w:tblInd w:w="4" w:type="dxa"/>
        <w:tblCellMar>
          <w:top w:w="352" w:type="dxa"/>
          <w:left w:w="562" w:type="dxa"/>
          <w:bottom w:w="0" w:type="dxa"/>
          <w:right w:w="115" w:type="dxa"/>
        </w:tblCellMar>
        <w:tblLook w:val="04A0" w:firstRow="1" w:lastRow="0" w:firstColumn="1" w:lastColumn="0" w:noHBand="0" w:noVBand="1"/>
      </w:tblPr>
      <w:tblGrid>
        <w:gridCol w:w="9352"/>
      </w:tblGrid>
      <w:tr w:rsidR="001B6146" w14:paraId="2BEA234F" w14:textId="77777777">
        <w:trPr>
          <w:trHeight w:val="272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0274846" w14:textId="77777777" w:rsidR="001B6146" w:rsidRDefault="00000000">
            <w:pPr>
              <w:spacing w:after="0" w:line="259" w:lineRule="auto"/>
              <w:ind w:left="0" w:right="0" w:firstLine="0"/>
              <w:jc w:val="left"/>
            </w:pPr>
            <w:r>
              <w:rPr>
                <w:rFonts w:ascii="Open Sans" w:eastAsia="Open Sans" w:hAnsi="Open Sans" w:cs="Open Sans"/>
                <w:b/>
                <w:sz w:val="26"/>
              </w:rPr>
              <w:t>Oracle</w:t>
            </w:r>
          </w:p>
          <w:p w14:paraId="3E0C8BA2" w14:textId="77777777" w:rsidR="001B6146" w:rsidRDefault="00000000">
            <w:pPr>
              <w:spacing w:after="371" w:line="259" w:lineRule="auto"/>
              <w:ind w:left="0" w:right="0" w:firstLine="0"/>
              <w:jc w:val="left"/>
            </w:pPr>
            <w:r>
              <w:rPr>
                <w:sz w:val="20"/>
              </w:rPr>
              <w:t>Dirty reads are not allowed, and so the lowest isolation level is Read Committed.</w:t>
            </w:r>
          </w:p>
          <w:p w14:paraId="0255AD68" w14:textId="77777777" w:rsidR="001B6146" w:rsidRDefault="00000000">
            <w:pPr>
              <w:spacing w:after="0" w:line="259" w:lineRule="auto"/>
              <w:ind w:left="120" w:right="0" w:firstLine="0"/>
            </w:pPr>
            <w:r>
              <w:rPr>
                <w:noProof/>
              </w:rPr>
              <w:drawing>
                <wp:anchor distT="0" distB="0" distL="114300" distR="114300" simplePos="0" relativeHeight="251660288" behindDoc="0" locked="0" layoutInCell="1" allowOverlap="0" wp14:anchorId="035B1D50" wp14:editId="59803D6F">
                  <wp:simplePos x="0" y="0"/>
                  <wp:positionH relativeFrom="column">
                    <wp:posOffset>432724</wp:posOffset>
                  </wp:positionH>
                  <wp:positionV relativeFrom="paragraph">
                    <wp:posOffset>-7066</wp:posOffset>
                  </wp:positionV>
                  <wp:extent cx="360001" cy="360001"/>
                  <wp:effectExtent l="0" t="0" r="0" b="0"/>
                  <wp:wrapSquare wrapText="bothSides"/>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7"/>
                          <a:stretch>
                            <a:fillRect/>
                          </a:stretch>
                        </pic:blipFill>
                        <pic:spPr>
                          <a:xfrm>
                            <a:off x="0" y="0"/>
                            <a:ext cx="360001" cy="360001"/>
                          </a:xfrm>
                          <a:prstGeom prst="rect">
                            <a:avLst/>
                          </a:prstGeom>
                        </pic:spPr>
                      </pic:pic>
                    </a:graphicData>
                  </a:graphic>
                </wp:anchor>
              </w:drawing>
            </w:r>
            <w:r>
              <w:rPr>
                <w:sz w:val="20"/>
              </w:rPr>
              <w:t xml:space="preserve">The JDBC driver will even throw an exception if the client tries to set the Read Uncommitted isolation on the current </w:t>
            </w:r>
            <w:r>
              <w:rPr>
                <w:rFonts w:ascii="Courier New" w:eastAsia="Courier New" w:hAnsi="Courier New" w:cs="Courier New"/>
                <w:sz w:val="16"/>
              </w:rPr>
              <w:t>Connection</w:t>
            </w:r>
            <w:r>
              <w:rPr>
                <w:sz w:val="20"/>
              </w:rPr>
              <w:t>.</w:t>
            </w:r>
          </w:p>
        </w:tc>
      </w:tr>
      <w:tr w:rsidR="001B6146" w14:paraId="62BF982E" w14:textId="77777777">
        <w:trPr>
          <w:trHeight w:val="433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594DD7" w14:textId="77777777" w:rsidR="001B6146" w:rsidRDefault="00000000">
            <w:pPr>
              <w:spacing w:after="0" w:line="259" w:lineRule="auto"/>
              <w:ind w:left="0" w:right="0" w:firstLine="0"/>
              <w:jc w:val="left"/>
            </w:pPr>
            <w:r>
              <w:rPr>
                <w:rFonts w:ascii="Open Sans" w:eastAsia="Open Sans" w:hAnsi="Open Sans" w:cs="Open Sans"/>
                <w:b/>
                <w:sz w:val="26"/>
              </w:rPr>
              <w:t>SQL Server</w:t>
            </w:r>
          </w:p>
          <w:p w14:paraId="0D0C0E2B" w14:textId="77777777" w:rsidR="001B6146" w:rsidRDefault="00000000">
            <w:pPr>
              <w:spacing w:after="369" w:line="261" w:lineRule="auto"/>
              <w:ind w:left="0" w:right="246" w:firstLine="0"/>
            </w:pPr>
            <w:r>
              <w:rPr>
                <w:sz w:val="20"/>
              </w:rPr>
              <w:t>Read Uncommitted only protects against dirty writes, all other phenomena being allowed. When using Read Uncommitted, there is no exclusive lock associated with a given SQL modification, so uncommitted changes are available to other concurrent transactions even before they get committed. If the risk of dirty reads can be assumed, avoiding exclusive locks may speed up reporting queries, especially when scanning large amounts of data.</w:t>
            </w:r>
          </w:p>
          <w:p w14:paraId="22885207" w14:textId="77777777" w:rsidR="001B6146" w:rsidRDefault="00000000">
            <w:pPr>
              <w:spacing w:after="0" w:line="259" w:lineRule="auto"/>
              <w:ind w:left="120" w:right="0" w:firstLine="0"/>
            </w:pPr>
            <w:r>
              <w:rPr>
                <w:noProof/>
              </w:rPr>
              <w:drawing>
                <wp:anchor distT="0" distB="0" distL="114300" distR="114300" simplePos="0" relativeHeight="251661312" behindDoc="0" locked="0" layoutInCell="1" allowOverlap="0" wp14:anchorId="27C1AE15" wp14:editId="4C401E8A">
                  <wp:simplePos x="0" y="0"/>
                  <wp:positionH relativeFrom="column">
                    <wp:posOffset>432724</wp:posOffset>
                  </wp:positionH>
                  <wp:positionV relativeFrom="paragraph">
                    <wp:posOffset>-7052</wp:posOffset>
                  </wp:positionV>
                  <wp:extent cx="360001" cy="360001"/>
                  <wp:effectExtent l="0" t="0" r="0" b="0"/>
                  <wp:wrapSquare wrapText="bothSides"/>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7"/>
                          <a:stretch>
                            <a:fillRect/>
                          </a:stretch>
                        </pic:blipFill>
                        <pic:spPr>
                          <a:xfrm>
                            <a:off x="0" y="0"/>
                            <a:ext cx="360001" cy="360001"/>
                          </a:xfrm>
                          <a:prstGeom prst="rect">
                            <a:avLst/>
                          </a:prstGeom>
                        </pic:spPr>
                      </pic:pic>
                    </a:graphicData>
                  </a:graphic>
                </wp:anchor>
              </w:drawing>
            </w:r>
            <w:r>
              <w:rPr>
                <w:sz w:val="20"/>
              </w:rPr>
              <w:t>For lock-based concurrency control mechanisms, Read Uncommitted is worth considering if the risk of dirty reads is a much smaller issue than locking a large portion of a database table. Because MVCC avoids reader-writer and writer-reader locking, it might not exhibit a considerable performance enhancement from permitting dirty reads.</w:t>
            </w:r>
          </w:p>
        </w:tc>
      </w:tr>
      <w:tr w:rsidR="001B6146" w14:paraId="6F20C042" w14:textId="77777777">
        <w:trPr>
          <w:trHeight w:val="291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B3DFB0B" w14:textId="77777777" w:rsidR="001B6146" w:rsidRDefault="00000000">
            <w:pPr>
              <w:spacing w:after="0" w:line="259" w:lineRule="auto"/>
              <w:ind w:left="0" w:right="0" w:firstLine="0"/>
              <w:jc w:val="left"/>
            </w:pPr>
            <w:r>
              <w:rPr>
                <w:rFonts w:ascii="Open Sans" w:eastAsia="Open Sans" w:hAnsi="Open Sans" w:cs="Open Sans"/>
                <w:b/>
                <w:sz w:val="26"/>
              </w:rPr>
              <w:t>PostgreSQL</w:t>
            </w:r>
          </w:p>
          <w:p w14:paraId="43D4C923" w14:textId="77777777" w:rsidR="001B6146" w:rsidRDefault="00000000">
            <w:pPr>
              <w:spacing w:after="319" w:line="261" w:lineRule="auto"/>
              <w:ind w:left="0" w:right="0" w:firstLine="0"/>
              <w:jc w:val="left"/>
            </w:pPr>
            <w:r>
              <w:rPr>
                <w:sz w:val="20"/>
              </w:rPr>
              <w:t>Like Oracle, PostgreSQL does not allow dirty reads, the lowest isolation level being Read Committed.</w:t>
            </w:r>
          </w:p>
          <w:p w14:paraId="55350C2B" w14:textId="77777777" w:rsidR="001B6146" w:rsidRDefault="00000000">
            <w:pPr>
              <w:spacing w:after="0" w:line="259" w:lineRule="auto"/>
              <w:ind w:left="120" w:right="0" w:firstLine="0"/>
              <w:jc w:val="left"/>
            </w:pPr>
            <w:r>
              <w:rPr>
                <w:noProof/>
              </w:rPr>
              <w:drawing>
                <wp:anchor distT="0" distB="0" distL="114300" distR="114300" simplePos="0" relativeHeight="251662336" behindDoc="0" locked="0" layoutInCell="1" allowOverlap="0" wp14:anchorId="52E075D7" wp14:editId="08158D8E">
                  <wp:simplePos x="0" y="0"/>
                  <wp:positionH relativeFrom="column">
                    <wp:posOffset>432724</wp:posOffset>
                  </wp:positionH>
                  <wp:positionV relativeFrom="paragraph">
                    <wp:posOffset>-7065</wp:posOffset>
                  </wp:positionV>
                  <wp:extent cx="360001" cy="360001"/>
                  <wp:effectExtent l="0" t="0" r="0" b="0"/>
                  <wp:wrapSquare wrapText="bothSides"/>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7"/>
                          <a:stretch>
                            <a:fillRect/>
                          </a:stretch>
                        </pic:blipFill>
                        <pic:spPr>
                          <a:xfrm>
                            <a:off x="0" y="0"/>
                            <a:ext cx="360001" cy="360001"/>
                          </a:xfrm>
                          <a:prstGeom prst="rect">
                            <a:avLst/>
                          </a:prstGeom>
                        </pic:spPr>
                      </pic:pic>
                    </a:graphicData>
                  </a:graphic>
                </wp:anchor>
              </w:drawing>
            </w:r>
            <w:r>
              <w:rPr>
                <w:sz w:val="20"/>
              </w:rPr>
              <w:t>When choosing Read Uncommitted, the JDBC driver silently falls back to Read Committed.</w:t>
            </w:r>
          </w:p>
        </w:tc>
      </w:tr>
    </w:tbl>
    <w:p w14:paraId="567CA0BB" w14:textId="77777777" w:rsidR="001B6146" w:rsidRDefault="00000000">
      <w:pPr>
        <w:pStyle w:val="Heading1"/>
        <w:ind w:left="561" w:right="183"/>
      </w:pPr>
      <w:r>
        <w:lastRenderedPageBreak/>
        <w:t>MySQL</w:t>
      </w:r>
    </w:p>
    <w:p w14:paraId="062F1069"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098" w:line="265" w:lineRule="auto"/>
        <w:ind w:left="561" w:right="183"/>
      </w:pPr>
      <w:r>
        <w:rPr>
          <w:sz w:val="20"/>
        </w:rPr>
        <w:t>Although it uses MVCC, InnoDB implements Read Uncommitted so that dirty reads are permitted. As an optimization, each query is spared from rebuilding the previously committed versions (using the rollback segments) of the currently scanned records (in case they have been recently modified).</w:t>
      </w:r>
    </w:p>
    <w:p w14:paraId="569543E4" w14:textId="77777777" w:rsidR="001B6146" w:rsidRDefault="00000000">
      <w:pPr>
        <w:pStyle w:val="Heading2"/>
        <w:ind w:left="-5"/>
      </w:pPr>
      <w:r>
        <w:t>6.3.3.2 Read Committed</w:t>
      </w:r>
    </w:p>
    <w:p w14:paraId="375A6110" w14:textId="77777777" w:rsidR="001B6146" w:rsidRDefault="00000000">
      <w:pPr>
        <w:ind w:left="-5" w:right="0"/>
      </w:pPr>
      <w:r>
        <w:t>Read Committed is one of the most common isolation levels, and it behaves consistently across multiple relational database systems or various concurrency control models.</w:t>
      </w:r>
    </w:p>
    <w:p w14:paraId="214A777C" w14:textId="77777777" w:rsidR="001B6146" w:rsidRDefault="00000000">
      <w:pPr>
        <w:ind w:left="-5" w:right="0"/>
      </w:pPr>
      <w:r>
        <w:t>Many database systems choose Read Committed as the default isolation level because it delivers the best performance while preventing fatal anomalies such as dirty writes and dirty reads. However, performance has its price as Read Committed permits many anomalies that might lead to data corruption.</w:t>
      </w:r>
    </w:p>
    <w:tbl>
      <w:tblPr>
        <w:tblStyle w:val="TableGrid"/>
        <w:tblW w:w="9049" w:type="dxa"/>
        <w:tblInd w:w="120" w:type="dxa"/>
        <w:tblCellMar>
          <w:top w:w="0" w:type="dxa"/>
          <w:left w:w="0" w:type="dxa"/>
          <w:bottom w:w="0" w:type="dxa"/>
          <w:right w:w="0" w:type="dxa"/>
        </w:tblCellMar>
        <w:tblLook w:val="04A0" w:firstRow="1" w:lastRow="0" w:firstColumn="1" w:lastColumn="0" w:noHBand="0" w:noVBand="1"/>
      </w:tblPr>
      <w:tblGrid>
        <w:gridCol w:w="2412"/>
        <w:gridCol w:w="4545"/>
        <w:gridCol w:w="1403"/>
        <w:gridCol w:w="689"/>
      </w:tblGrid>
      <w:tr w:rsidR="001B6146" w14:paraId="7FCE0E11" w14:textId="77777777">
        <w:trPr>
          <w:trHeight w:val="316"/>
        </w:trPr>
        <w:tc>
          <w:tcPr>
            <w:tcW w:w="2414" w:type="dxa"/>
            <w:tcBorders>
              <w:top w:val="nil"/>
              <w:left w:val="nil"/>
              <w:bottom w:val="nil"/>
              <w:right w:val="nil"/>
            </w:tcBorders>
          </w:tcPr>
          <w:p w14:paraId="40D68D43" w14:textId="77777777" w:rsidR="001B6146" w:rsidRDefault="001B6146">
            <w:pPr>
              <w:spacing w:after="160" w:line="259" w:lineRule="auto"/>
              <w:ind w:left="0" w:right="0" w:firstLine="0"/>
              <w:jc w:val="left"/>
            </w:pPr>
          </w:p>
        </w:tc>
        <w:tc>
          <w:tcPr>
            <w:tcW w:w="4550" w:type="dxa"/>
            <w:tcBorders>
              <w:top w:val="nil"/>
              <w:left w:val="nil"/>
              <w:bottom w:val="nil"/>
              <w:right w:val="nil"/>
            </w:tcBorders>
          </w:tcPr>
          <w:p w14:paraId="01F62C8B" w14:textId="77777777" w:rsidR="001B6146" w:rsidRDefault="00000000">
            <w:pPr>
              <w:spacing w:after="0" w:line="259" w:lineRule="auto"/>
              <w:ind w:left="0" w:right="0" w:firstLine="0"/>
              <w:jc w:val="left"/>
            </w:pPr>
            <w:r>
              <w:rPr>
                <w:b/>
                <w:sz w:val="18"/>
              </w:rPr>
              <w:t>Table 6.3: Read Committed phenomena occurrence</w:t>
            </w:r>
          </w:p>
        </w:tc>
        <w:tc>
          <w:tcPr>
            <w:tcW w:w="1404" w:type="dxa"/>
            <w:tcBorders>
              <w:top w:val="nil"/>
              <w:left w:val="nil"/>
              <w:bottom w:val="nil"/>
              <w:right w:val="nil"/>
            </w:tcBorders>
          </w:tcPr>
          <w:p w14:paraId="5C1784DF" w14:textId="77777777" w:rsidR="001B6146" w:rsidRDefault="001B6146">
            <w:pPr>
              <w:spacing w:after="160" w:line="259" w:lineRule="auto"/>
              <w:ind w:left="0" w:right="0" w:firstLine="0"/>
              <w:jc w:val="left"/>
            </w:pPr>
          </w:p>
        </w:tc>
        <w:tc>
          <w:tcPr>
            <w:tcW w:w="681" w:type="dxa"/>
            <w:tcBorders>
              <w:top w:val="nil"/>
              <w:left w:val="nil"/>
              <w:bottom w:val="nil"/>
              <w:right w:val="nil"/>
            </w:tcBorders>
          </w:tcPr>
          <w:p w14:paraId="0D513795" w14:textId="77777777" w:rsidR="001B6146" w:rsidRDefault="001B6146">
            <w:pPr>
              <w:spacing w:after="160" w:line="259" w:lineRule="auto"/>
              <w:ind w:left="0" w:right="0" w:firstLine="0"/>
              <w:jc w:val="left"/>
            </w:pPr>
          </w:p>
        </w:tc>
      </w:tr>
      <w:tr w:rsidR="001B6146" w14:paraId="61C27F63" w14:textId="77777777">
        <w:trPr>
          <w:trHeight w:val="352"/>
        </w:trPr>
        <w:tc>
          <w:tcPr>
            <w:tcW w:w="2414" w:type="dxa"/>
            <w:tcBorders>
              <w:top w:val="nil"/>
              <w:left w:val="nil"/>
              <w:bottom w:val="nil"/>
              <w:right w:val="nil"/>
            </w:tcBorders>
          </w:tcPr>
          <w:p w14:paraId="1EFE9232" w14:textId="77777777" w:rsidR="001B6146" w:rsidRDefault="00000000">
            <w:pPr>
              <w:spacing w:after="0" w:line="259" w:lineRule="auto"/>
              <w:ind w:left="0" w:right="0" w:firstLine="0"/>
              <w:jc w:val="left"/>
            </w:pPr>
            <w:r>
              <w:rPr>
                <w:b/>
                <w:sz w:val="20"/>
                <w:u w:val="single" w:color="000000"/>
              </w:rPr>
              <w:t>Phenomena</w:t>
            </w:r>
          </w:p>
        </w:tc>
        <w:tc>
          <w:tcPr>
            <w:tcW w:w="4550" w:type="dxa"/>
            <w:tcBorders>
              <w:top w:val="nil"/>
              <w:left w:val="nil"/>
              <w:bottom w:val="nil"/>
              <w:right w:val="nil"/>
            </w:tcBorders>
          </w:tcPr>
          <w:p w14:paraId="273B50EC" w14:textId="77777777" w:rsidR="001B6146" w:rsidRDefault="00000000">
            <w:pPr>
              <w:tabs>
                <w:tab w:val="center" w:pos="1531"/>
                <w:tab w:val="center" w:pos="3306"/>
              </w:tabs>
              <w:spacing w:after="0" w:line="259" w:lineRule="auto"/>
              <w:ind w:left="0" w:right="0" w:firstLine="0"/>
              <w:jc w:val="left"/>
            </w:pPr>
            <w:r>
              <w:rPr>
                <w:b/>
                <w:sz w:val="20"/>
                <w:u w:val="single" w:color="000000"/>
              </w:rPr>
              <w:t>Oracle</w:t>
            </w:r>
            <w:r>
              <w:rPr>
                <w:b/>
                <w:sz w:val="20"/>
                <w:u w:val="single" w:color="000000"/>
              </w:rPr>
              <w:tab/>
              <w:t>SQL Server</w:t>
            </w:r>
            <w:r>
              <w:rPr>
                <w:b/>
                <w:sz w:val="20"/>
                <w:u w:val="single" w:color="000000"/>
              </w:rPr>
              <w:tab/>
              <w:t>SQL Server MVCC</w:t>
            </w:r>
          </w:p>
        </w:tc>
        <w:tc>
          <w:tcPr>
            <w:tcW w:w="1404" w:type="dxa"/>
            <w:tcBorders>
              <w:top w:val="nil"/>
              <w:left w:val="nil"/>
              <w:bottom w:val="nil"/>
              <w:right w:val="nil"/>
            </w:tcBorders>
          </w:tcPr>
          <w:p w14:paraId="299C2F86" w14:textId="77777777" w:rsidR="001B6146" w:rsidRDefault="00000000">
            <w:pPr>
              <w:spacing w:after="0" w:line="259" w:lineRule="auto"/>
              <w:ind w:left="0" w:right="0" w:firstLine="0"/>
              <w:jc w:val="left"/>
            </w:pPr>
            <w:r>
              <w:rPr>
                <w:b/>
                <w:sz w:val="20"/>
                <w:u w:val="single" w:color="000000"/>
              </w:rPr>
              <w:t>PostgreSQL</w:t>
            </w:r>
          </w:p>
        </w:tc>
        <w:tc>
          <w:tcPr>
            <w:tcW w:w="681" w:type="dxa"/>
            <w:tcBorders>
              <w:top w:val="nil"/>
              <w:left w:val="nil"/>
              <w:bottom w:val="nil"/>
              <w:right w:val="nil"/>
            </w:tcBorders>
          </w:tcPr>
          <w:p w14:paraId="67D7ED96" w14:textId="77777777" w:rsidR="001B6146" w:rsidRDefault="00000000">
            <w:pPr>
              <w:spacing w:after="0" w:line="259" w:lineRule="auto"/>
              <w:ind w:left="0" w:right="0" w:firstLine="0"/>
            </w:pPr>
            <w:r>
              <w:rPr>
                <w:b/>
                <w:sz w:val="20"/>
                <w:u w:val="single" w:color="000000"/>
              </w:rPr>
              <w:t>MySQL</w:t>
            </w:r>
          </w:p>
        </w:tc>
      </w:tr>
      <w:tr w:rsidR="001B6146" w14:paraId="103D68EF" w14:textId="77777777">
        <w:trPr>
          <w:trHeight w:val="252"/>
        </w:trPr>
        <w:tc>
          <w:tcPr>
            <w:tcW w:w="2414" w:type="dxa"/>
            <w:tcBorders>
              <w:top w:val="nil"/>
              <w:left w:val="nil"/>
              <w:bottom w:val="nil"/>
              <w:right w:val="nil"/>
            </w:tcBorders>
          </w:tcPr>
          <w:p w14:paraId="7D9DE861" w14:textId="77777777" w:rsidR="001B6146" w:rsidRDefault="00000000">
            <w:pPr>
              <w:spacing w:after="0" w:line="259" w:lineRule="auto"/>
              <w:ind w:left="0" w:right="0" w:firstLine="0"/>
              <w:jc w:val="left"/>
            </w:pPr>
            <w:r>
              <w:rPr>
                <w:sz w:val="20"/>
              </w:rPr>
              <w:t>Dirty Write</w:t>
            </w:r>
          </w:p>
        </w:tc>
        <w:tc>
          <w:tcPr>
            <w:tcW w:w="4550" w:type="dxa"/>
            <w:tcBorders>
              <w:top w:val="nil"/>
              <w:left w:val="nil"/>
              <w:bottom w:val="nil"/>
              <w:right w:val="nil"/>
            </w:tcBorders>
          </w:tcPr>
          <w:p w14:paraId="2DE8D543" w14:textId="77777777" w:rsidR="001B6146" w:rsidRDefault="00000000">
            <w:pPr>
              <w:tabs>
                <w:tab w:val="center" w:pos="362"/>
                <w:tab w:val="center" w:pos="1532"/>
                <w:tab w:val="center" w:pos="3306"/>
              </w:tabs>
              <w:spacing w:after="0" w:line="259" w:lineRule="auto"/>
              <w:ind w:left="0" w:right="0" w:firstLine="0"/>
              <w:jc w:val="left"/>
            </w:pPr>
            <w:r>
              <w:rPr>
                <w:rFonts w:ascii="Calibri" w:eastAsia="Calibri" w:hAnsi="Calibri" w:cs="Calibri"/>
              </w:rPr>
              <w:tab/>
            </w:r>
            <w:r>
              <w:rPr>
                <w:sz w:val="20"/>
              </w:rPr>
              <w:t>No</w:t>
            </w:r>
            <w:r>
              <w:rPr>
                <w:sz w:val="20"/>
              </w:rPr>
              <w:tab/>
              <w:t>No</w:t>
            </w:r>
            <w:r>
              <w:rPr>
                <w:sz w:val="20"/>
              </w:rPr>
              <w:tab/>
              <w:t>No</w:t>
            </w:r>
          </w:p>
        </w:tc>
        <w:tc>
          <w:tcPr>
            <w:tcW w:w="1404" w:type="dxa"/>
            <w:tcBorders>
              <w:top w:val="nil"/>
              <w:left w:val="nil"/>
              <w:bottom w:val="nil"/>
              <w:right w:val="nil"/>
            </w:tcBorders>
          </w:tcPr>
          <w:p w14:paraId="584A4747"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349D43C3" w14:textId="77777777" w:rsidR="001B6146" w:rsidRDefault="00000000">
            <w:pPr>
              <w:spacing w:after="0" w:line="259" w:lineRule="auto"/>
              <w:ind w:left="1" w:right="0" w:firstLine="0"/>
              <w:jc w:val="left"/>
            </w:pPr>
            <w:r>
              <w:rPr>
                <w:sz w:val="20"/>
              </w:rPr>
              <w:t>No</w:t>
            </w:r>
          </w:p>
        </w:tc>
      </w:tr>
      <w:tr w:rsidR="001B6146" w14:paraId="2E17F607" w14:textId="77777777">
        <w:trPr>
          <w:trHeight w:val="248"/>
        </w:trPr>
        <w:tc>
          <w:tcPr>
            <w:tcW w:w="2414" w:type="dxa"/>
            <w:tcBorders>
              <w:top w:val="nil"/>
              <w:left w:val="nil"/>
              <w:bottom w:val="nil"/>
              <w:right w:val="nil"/>
            </w:tcBorders>
          </w:tcPr>
          <w:p w14:paraId="1EEF4B2E" w14:textId="77777777" w:rsidR="001B6146" w:rsidRDefault="00000000">
            <w:pPr>
              <w:spacing w:after="0" w:line="259" w:lineRule="auto"/>
              <w:ind w:left="0" w:right="0" w:firstLine="0"/>
              <w:jc w:val="left"/>
            </w:pPr>
            <w:r>
              <w:rPr>
                <w:sz w:val="20"/>
              </w:rPr>
              <w:t>Dirty Read</w:t>
            </w:r>
          </w:p>
        </w:tc>
        <w:tc>
          <w:tcPr>
            <w:tcW w:w="4550" w:type="dxa"/>
            <w:tcBorders>
              <w:top w:val="nil"/>
              <w:left w:val="nil"/>
              <w:bottom w:val="nil"/>
              <w:right w:val="nil"/>
            </w:tcBorders>
          </w:tcPr>
          <w:p w14:paraId="5D23D995" w14:textId="77777777" w:rsidR="001B6146" w:rsidRDefault="00000000">
            <w:pPr>
              <w:tabs>
                <w:tab w:val="center" w:pos="362"/>
                <w:tab w:val="center" w:pos="1532"/>
                <w:tab w:val="center" w:pos="3306"/>
              </w:tabs>
              <w:spacing w:after="0" w:line="259" w:lineRule="auto"/>
              <w:ind w:left="0" w:right="0" w:firstLine="0"/>
              <w:jc w:val="left"/>
            </w:pPr>
            <w:r>
              <w:rPr>
                <w:rFonts w:ascii="Calibri" w:eastAsia="Calibri" w:hAnsi="Calibri" w:cs="Calibri"/>
              </w:rPr>
              <w:tab/>
            </w:r>
            <w:r>
              <w:rPr>
                <w:sz w:val="20"/>
              </w:rPr>
              <w:t>No</w:t>
            </w:r>
            <w:r>
              <w:rPr>
                <w:sz w:val="20"/>
              </w:rPr>
              <w:tab/>
              <w:t>No</w:t>
            </w:r>
            <w:r>
              <w:rPr>
                <w:sz w:val="20"/>
              </w:rPr>
              <w:tab/>
              <w:t>No</w:t>
            </w:r>
          </w:p>
        </w:tc>
        <w:tc>
          <w:tcPr>
            <w:tcW w:w="1404" w:type="dxa"/>
            <w:tcBorders>
              <w:top w:val="nil"/>
              <w:left w:val="nil"/>
              <w:bottom w:val="nil"/>
              <w:right w:val="nil"/>
            </w:tcBorders>
          </w:tcPr>
          <w:p w14:paraId="435F19F9"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32742E10" w14:textId="77777777" w:rsidR="001B6146" w:rsidRDefault="00000000">
            <w:pPr>
              <w:spacing w:after="0" w:line="259" w:lineRule="auto"/>
              <w:ind w:left="1" w:right="0" w:firstLine="0"/>
              <w:jc w:val="left"/>
            </w:pPr>
            <w:r>
              <w:rPr>
                <w:sz w:val="20"/>
              </w:rPr>
              <w:t>No</w:t>
            </w:r>
          </w:p>
        </w:tc>
      </w:tr>
      <w:tr w:rsidR="001B6146" w14:paraId="6A725324" w14:textId="77777777">
        <w:trPr>
          <w:trHeight w:val="248"/>
        </w:trPr>
        <w:tc>
          <w:tcPr>
            <w:tcW w:w="2414" w:type="dxa"/>
            <w:tcBorders>
              <w:top w:val="nil"/>
              <w:left w:val="nil"/>
              <w:bottom w:val="nil"/>
              <w:right w:val="nil"/>
            </w:tcBorders>
          </w:tcPr>
          <w:p w14:paraId="684638B1" w14:textId="77777777" w:rsidR="001B6146" w:rsidRDefault="00000000">
            <w:pPr>
              <w:spacing w:after="0" w:line="259" w:lineRule="auto"/>
              <w:ind w:left="0" w:right="0" w:firstLine="0"/>
              <w:jc w:val="left"/>
            </w:pPr>
            <w:r>
              <w:rPr>
                <w:sz w:val="20"/>
              </w:rPr>
              <w:t>Non-Repeatable Read</w:t>
            </w:r>
          </w:p>
        </w:tc>
        <w:tc>
          <w:tcPr>
            <w:tcW w:w="4550" w:type="dxa"/>
            <w:tcBorders>
              <w:top w:val="nil"/>
              <w:left w:val="nil"/>
              <w:bottom w:val="nil"/>
              <w:right w:val="nil"/>
            </w:tcBorders>
          </w:tcPr>
          <w:p w14:paraId="68F9C972" w14:textId="77777777" w:rsidR="001B6146" w:rsidRDefault="00000000">
            <w:pPr>
              <w:tabs>
                <w:tab w:val="center" w:pos="1532"/>
                <w:tab w:val="center" w:pos="3306"/>
              </w:tabs>
              <w:spacing w:after="0" w:line="259" w:lineRule="auto"/>
              <w:ind w:left="0" w:right="0" w:firstLine="0"/>
              <w:jc w:val="left"/>
            </w:pPr>
            <w:r>
              <w:rPr>
                <w:sz w:val="20"/>
              </w:rPr>
              <w:t>Yes</w:t>
            </w:r>
            <w:r>
              <w:rPr>
                <w:sz w:val="20"/>
              </w:rPr>
              <w:tab/>
              <w:t>Yes</w:t>
            </w:r>
            <w:r>
              <w:rPr>
                <w:sz w:val="20"/>
              </w:rPr>
              <w:tab/>
              <w:t>Yes</w:t>
            </w:r>
          </w:p>
        </w:tc>
        <w:tc>
          <w:tcPr>
            <w:tcW w:w="1404" w:type="dxa"/>
            <w:tcBorders>
              <w:top w:val="nil"/>
              <w:left w:val="nil"/>
              <w:bottom w:val="nil"/>
              <w:right w:val="nil"/>
            </w:tcBorders>
          </w:tcPr>
          <w:p w14:paraId="51B210E0" w14:textId="77777777" w:rsidR="001B6146" w:rsidRDefault="00000000">
            <w:pPr>
              <w:spacing w:after="0" w:line="259" w:lineRule="auto"/>
              <w:ind w:left="397" w:right="0" w:firstLine="0"/>
              <w:jc w:val="left"/>
            </w:pPr>
            <w:r>
              <w:rPr>
                <w:sz w:val="20"/>
              </w:rPr>
              <w:t>Yes</w:t>
            </w:r>
          </w:p>
        </w:tc>
        <w:tc>
          <w:tcPr>
            <w:tcW w:w="681" w:type="dxa"/>
            <w:tcBorders>
              <w:top w:val="nil"/>
              <w:left w:val="nil"/>
              <w:bottom w:val="nil"/>
              <w:right w:val="nil"/>
            </w:tcBorders>
          </w:tcPr>
          <w:p w14:paraId="373E41E2" w14:textId="77777777" w:rsidR="001B6146" w:rsidRDefault="00000000">
            <w:pPr>
              <w:spacing w:after="0" w:line="259" w:lineRule="auto"/>
              <w:ind w:left="1" w:right="0" w:firstLine="0"/>
              <w:jc w:val="left"/>
            </w:pPr>
            <w:r>
              <w:rPr>
                <w:sz w:val="20"/>
              </w:rPr>
              <w:t>Yes</w:t>
            </w:r>
          </w:p>
        </w:tc>
      </w:tr>
      <w:tr w:rsidR="001B6146" w14:paraId="02CD4E5E" w14:textId="77777777">
        <w:trPr>
          <w:trHeight w:val="248"/>
        </w:trPr>
        <w:tc>
          <w:tcPr>
            <w:tcW w:w="2414" w:type="dxa"/>
            <w:tcBorders>
              <w:top w:val="nil"/>
              <w:left w:val="nil"/>
              <w:bottom w:val="nil"/>
              <w:right w:val="nil"/>
            </w:tcBorders>
          </w:tcPr>
          <w:p w14:paraId="3EEC7654" w14:textId="77777777" w:rsidR="001B6146" w:rsidRDefault="00000000">
            <w:pPr>
              <w:spacing w:after="0" w:line="259" w:lineRule="auto"/>
              <w:ind w:left="0" w:right="0" w:firstLine="0"/>
              <w:jc w:val="left"/>
            </w:pPr>
            <w:r>
              <w:rPr>
                <w:sz w:val="20"/>
              </w:rPr>
              <w:t>Phantom Read</w:t>
            </w:r>
          </w:p>
        </w:tc>
        <w:tc>
          <w:tcPr>
            <w:tcW w:w="4550" w:type="dxa"/>
            <w:tcBorders>
              <w:top w:val="nil"/>
              <w:left w:val="nil"/>
              <w:bottom w:val="nil"/>
              <w:right w:val="nil"/>
            </w:tcBorders>
          </w:tcPr>
          <w:p w14:paraId="10843DB9" w14:textId="77777777" w:rsidR="001B6146" w:rsidRDefault="00000000">
            <w:pPr>
              <w:tabs>
                <w:tab w:val="center" w:pos="1532"/>
                <w:tab w:val="center" w:pos="3306"/>
              </w:tabs>
              <w:spacing w:after="0" w:line="259" w:lineRule="auto"/>
              <w:ind w:left="0" w:right="0" w:firstLine="0"/>
              <w:jc w:val="left"/>
            </w:pPr>
            <w:r>
              <w:rPr>
                <w:sz w:val="20"/>
              </w:rPr>
              <w:t>Yes</w:t>
            </w:r>
            <w:r>
              <w:rPr>
                <w:sz w:val="20"/>
              </w:rPr>
              <w:tab/>
              <w:t>Yes</w:t>
            </w:r>
            <w:r>
              <w:rPr>
                <w:sz w:val="20"/>
              </w:rPr>
              <w:tab/>
              <w:t>Yes</w:t>
            </w:r>
          </w:p>
        </w:tc>
        <w:tc>
          <w:tcPr>
            <w:tcW w:w="1404" w:type="dxa"/>
            <w:tcBorders>
              <w:top w:val="nil"/>
              <w:left w:val="nil"/>
              <w:bottom w:val="nil"/>
              <w:right w:val="nil"/>
            </w:tcBorders>
          </w:tcPr>
          <w:p w14:paraId="3C40A771" w14:textId="77777777" w:rsidR="001B6146" w:rsidRDefault="00000000">
            <w:pPr>
              <w:spacing w:after="0" w:line="259" w:lineRule="auto"/>
              <w:ind w:left="397" w:right="0" w:firstLine="0"/>
              <w:jc w:val="left"/>
            </w:pPr>
            <w:r>
              <w:rPr>
                <w:sz w:val="20"/>
              </w:rPr>
              <w:t>Yes</w:t>
            </w:r>
          </w:p>
        </w:tc>
        <w:tc>
          <w:tcPr>
            <w:tcW w:w="681" w:type="dxa"/>
            <w:tcBorders>
              <w:top w:val="nil"/>
              <w:left w:val="nil"/>
              <w:bottom w:val="nil"/>
              <w:right w:val="nil"/>
            </w:tcBorders>
          </w:tcPr>
          <w:p w14:paraId="17646D99" w14:textId="77777777" w:rsidR="001B6146" w:rsidRDefault="00000000">
            <w:pPr>
              <w:spacing w:after="0" w:line="259" w:lineRule="auto"/>
              <w:ind w:left="1" w:right="0" w:firstLine="0"/>
              <w:jc w:val="left"/>
            </w:pPr>
            <w:r>
              <w:rPr>
                <w:sz w:val="20"/>
              </w:rPr>
              <w:t>Yes</w:t>
            </w:r>
          </w:p>
        </w:tc>
      </w:tr>
      <w:tr w:rsidR="001B6146" w14:paraId="53E188F8" w14:textId="77777777">
        <w:trPr>
          <w:trHeight w:val="248"/>
        </w:trPr>
        <w:tc>
          <w:tcPr>
            <w:tcW w:w="2414" w:type="dxa"/>
            <w:tcBorders>
              <w:top w:val="nil"/>
              <w:left w:val="nil"/>
              <w:bottom w:val="nil"/>
              <w:right w:val="nil"/>
            </w:tcBorders>
          </w:tcPr>
          <w:p w14:paraId="19442014" w14:textId="77777777" w:rsidR="001B6146" w:rsidRDefault="00000000">
            <w:pPr>
              <w:spacing w:after="0" w:line="259" w:lineRule="auto"/>
              <w:ind w:left="0" w:right="0" w:firstLine="0"/>
              <w:jc w:val="left"/>
            </w:pPr>
            <w:r>
              <w:rPr>
                <w:sz w:val="20"/>
              </w:rPr>
              <w:t>Read Skew</w:t>
            </w:r>
          </w:p>
        </w:tc>
        <w:tc>
          <w:tcPr>
            <w:tcW w:w="4550" w:type="dxa"/>
            <w:tcBorders>
              <w:top w:val="nil"/>
              <w:left w:val="nil"/>
              <w:bottom w:val="nil"/>
              <w:right w:val="nil"/>
            </w:tcBorders>
          </w:tcPr>
          <w:p w14:paraId="658F4E05" w14:textId="77777777" w:rsidR="001B6146" w:rsidRDefault="00000000">
            <w:pPr>
              <w:tabs>
                <w:tab w:val="center" w:pos="1532"/>
                <w:tab w:val="center" w:pos="3306"/>
              </w:tabs>
              <w:spacing w:after="0" w:line="259" w:lineRule="auto"/>
              <w:ind w:left="0" w:right="0" w:firstLine="0"/>
              <w:jc w:val="left"/>
            </w:pPr>
            <w:r>
              <w:rPr>
                <w:sz w:val="20"/>
              </w:rPr>
              <w:t>Yes</w:t>
            </w:r>
            <w:r>
              <w:rPr>
                <w:sz w:val="20"/>
              </w:rPr>
              <w:tab/>
              <w:t>Yes</w:t>
            </w:r>
            <w:r>
              <w:rPr>
                <w:sz w:val="20"/>
              </w:rPr>
              <w:tab/>
              <w:t>Yes</w:t>
            </w:r>
          </w:p>
        </w:tc>
        <w:tc>
          <w:tcPr>
            <w:tcW w:w="1404" w:type="dxa"/>
            <w:tcBorders>
              <w:top w:val="nil"/>
              <w:left w:val="nil"/>
              <w:bottom w:val="nil"/>
              <w:right w:val="nil"/>
            </w:tcBorders>
          </w:tcPr>
          <w:p w14:paraId="45B113D9" w14:textId="77777777" w:rsidR="001B6146" w:rsidRDefault="00000000">
            <w:pPr>
              <w:spacing w:after="0" w:line="259" w:lineRule="auto"/>
              <w:ind w:left="397" w:right="0" w:firstLine="0"/>
              <w:jc w:val="left"/>
            </w:pPr>
            <w:r>
              <w:rPr>
                <w:sz w:val="20"/>
              </w:rPr>
              <w:t>Yes</w:t>
            </w:r>
          </w:p>
        </w:tc>
        <w:tc>
          <w:tcPr>
            <w:tcW w:w="681" w:type="dxa"/>
            <w:tcBorders>
              <w:top w:val="nil"/>
              <w:left w:val="nil"/>
              <w:bottom w:val="nil"/>
              <w:right w:val="nil"/>
            </w:tcBorders>
          </w:tcPr>
          <w:p w14:paraId="3553333D" w14:textId="77777777" w:rsidR="001B6146" w:rsidRDefault="00000000">
            <w:pPr>
              <w:spacing w:after="0" w:line="259" w:lineRule="auto"/>
              <w:ind w:left="1" w:right="0" w:firstLine="0"/>
              <w:jc w:val="left"/>
            </w:pPr>
            <w:r>
              <w:rPr>
                <w:sz w:val="20"/>
              </w:rPr>
              <w:t>Yes</w:t>
            </w:r>
          </w:p>
        </w:tc>
      </w:tr>
      <w:tr w:rsidR="001B6146" w14:paraId="05FBF00D" w14:textId="77777777">
        <w:trPr>
          <w:trHeight w:val="248"/>
        </w:trPr>
        <w:tc>
          <w:tcPr>
            <w:tcW w:w="2414" w:type="dxa"/>
            <w:tcBorders>
              <w:top w:val="nil"/>
              <w:left w:val="nil"/>
              <w:bottom w:val="nil"/>
              <w:right w:val="nil"/>
            </w:tcBorders>
          </w:tcPr>
          <w:p w14:paraId="0E507BD2" w14:textId="77777777" w:rsidR="001B6146" w:rsidRDefault="00000000">
            <w:pPr>
              <w:spacing w:after="0" w:line="259" w:lineRule="auto"/>
              <w:ind w:left="0" w:right="0" w:firstLine="0"/>
              <w:jc w:val="left"/>
            </w:pPr>
            <w:r>
              <w:rPr>
                <w:sz w:val="20"/>
              </w:rPr>
              <w:t>Write Skew</w:t>
            </w:r>
          </w:p>
        </w:tc>
        <w:tc>
          <w:tcPr>
            <w:tcW w:w="4550" w:type="dxa"/>
            <w:tcBorders>
              <w:top w:val="nil"/>
              <w:left w:val="nil"/>
              <w:bottom w:val="nil"/>
              <w:right w:val="nil"/>
            </w:tcBorders>
          </w:tcPr>
          <w:p w14:paraId="40AAE614" w14:textId="77777777" w:rsidR="001B6146" w:rsidRDefault="00000000">
            <w:pPr>
              <w:tabs>
                <w:tab w:val="center" w:pos="1532"/>
                <w:tab w:val="center" w:pos="3306"/>
              </w:tabs>
              <w:spacing w:after="0" w:line="259" w:lineRule="auto"/>
              <w:ind w:left="0" w:right="0" w:firstLine="0"/>
              <w:jc w:val="left"/>
            </w:pPr>
            <w:r>
              <w:rPr>
                <w:sz w:val="20"/>
              </w:rPr>
              <w:t>Yes</w:t>
            </w:r>
            <w:r>
              <w:rPr>
                <w:sz w:val="20"/>
              </w:rPr>
              <w:tab/>
              <w:t>Yes</w:t>
            </w:r>
            <w:r>
              <w:rPr>
                <w:sz w:val="20"/>
              </w:rPr>
              <w:tab/>
              <w:t>Yes</w:t>
            </w:r>
          </w:p>
        </w:tc>
        <w:tc>
          <w:tcPr>
            <w:tcW w:w="1404" w:type="dxa"/>
            <w:tcBorders>
              <w:top w:val="nil"/>
              <w:left w:val="nil"/>
              <w:bottom w:val="nil"/>
              <w:right w:val="nil"/>
            </w:tcBorders>
          </w:tcPr>
          <w:p w14:paraId="77496F58" w14:textId="77777777" w:rsidR="001B6146" w:rsidRDefault="00000000">
            <w:pPr>
              <w:spacing w:after="0" w:line="259" w:lineRule="auto"/>
              <w:ind w:left="397" w:right="0" w:firstLine="0"/>
              <w:jc w:val="left"/>
            </w:pPr>
            <w:r>
              <w:rPr>
                <w:sz w:val="20"/>
              </w:rPr>
              <w:t>Yes</w:t>
            </w:r>
          </w:p>
        </w:tc>
        <w:tc>
          <w:tcPr>
            <w:tcW w:w="681" w:type="dxa"/>
            <w:tcBorders>
              <w:top w:val="nil"/>
              <w:left w:val="nil"/>
              <w:bottom w:val="nil"/>
              <w:right w:val="nil"/>
            </w:tcBorders>
          </w:tcPr>
          <w:p w14:paraId="57417A41" w14:textId="77777777" w:rsidR="001B6146" w:rsidRDefault="00000000">
            <w:pPr>
              <w:spacing w:after="0" w:line="259" w:lineRule="auto"/>
              <w:ind w:left="1" w:right="0" w:firstLine="0"/>
              <w:jc w:val="left"/>
            </w:pPr>
            <w:r>
              <w:rPr>
                <w:sz w:val="20"/>
              </w:rPr>
              <w:t>Yes</w:t>
            </w:r>
          </w:p>
        </w:tc>
      </w:tr>
      <w:tr w:rsidR="001B6146" w14:paraId="6B034529" w14:textId="77777777">
        <w:trPr>
          <w:trHeight w:val="244"/>
        </w:trPr>
        <w:tc>
          <w:tcPr>
            <w:tcW w:w="2414" w:type="dxa"/>
            <w:tcBorders>
              <w:top w:val="nil"/>
              <w:left w:val="nil"/>
              <w:bottom w:val="nil"/>
              <w:right w:val="nil"/>
            </w:tcBorders>
          </w:tcPr>
          <w:p w14:paraId="2D34CD6F" w14:textId="77777777" w:rsidR="001B6146" w:rsidRDefault="00000000">
            <w:pPr>
              <w:spacing w:after="0" w:line="259" w:lineRule="auto"/>
              <w:ind w:left="0" w:right="0" w:firstLine="0"/>
              <w:jc w:val="left"/>
            </w:pPr>
            <w:r>
              <w:rPr>
                <w:sz w:val="20"/>
              </w:rPr>
              <w:t>Lost Update</w:t>
            </w:r>
          </w:p>
        </w:tc>
        <w:tc>
          <w:tcPr>
            <w:tcW w:w="4550" w:type="dxa"/>
            <w:tcBorders>
              <w:top w:val="nil"/>
              <w:left w:val="nil"/>
              <w:bottom w:val="nil"/>
              <w:right w:val="nil"/>
            </w:tcBorders>
          </w:tcPr>
          <w:p w14:paraId="5DB9E354" w14:textId="77777777" w:rsidR="001B6146" w:rsidRDefault="00000000">
            <w:pPr>
              <w:tabs>
                <w:tab w:val="center" w:pos="1532"/>
                <w:tab w:val="center" w:pos="3306"/>
              </w:tabs>
              <w:spacing w:after="0" w:line="259" w:lineRule="auto"/>
              <w:ind w:left="0" w:right="0" w:firstLine="0"/>
              <w:jc w:val="left"/>
            </w:pPr>
            <w:r>
              <w:rPr>
                <w:sz w:val="20"/>
              </w:rPr>
              <w:t>Yes</w:t>
            </w:r>
            <w:r>
              <w:rPr>
                <w:sz w:val="20"/>
              </w:rPr>
              <w:tab/>
              <w:t>Yes</w:t>
            </w:r>
            <w:r>
              <w:rPr>
                <w:sz w:val="20"/>
              </w:rPr>
              <w:tab/>
              <w:t>Yes</w:t>
            </w:r>
          </w:p>
        </w:tc>
        <w:tc>
          <w:tcPr>
            <w:tcW w:w="1404" w:type="dxa"/>
            <w:tcBorders>
              <w:top w:val="nil"/>
              <w:left w:val="nil"/>
              <w:bottom w:val="nil"/>
              <w:right w:val="nil"/>
            </w:tcBorders>
          </w:tcPr>
          <w:p w14:paraId="3F52FCB6" w14:textId="77777777" w:rsidR="001B6146" w:rsidRDefault="00000000">
            <w:pPr>
              <w:spacing w:after="0" w:line="259" w:lineRule="auto"/>
              <w:ind w:left="397" w:right="0" w:firstLine="0"/>
              <w:jc w:val="left"/>
            </w:pPr>
            <w:r>
              <w:rPr>
                <w:sz w:val="20"/>
              </w:rPr>
              <w:t>Yes</w:t>
            </w:r>
          </w:p>
        </w:tc>
        <w:tc>
          <w:tcPr>
            <w:tcW w:w="681" w:type="dxa"/>
            <w:tcBorders>
              <w:top w:val="nil"/>
              <w:left w:val="nil"/>
              <w:bottom w:val="nil"/>
              <w:right w:val="nil"/>
            </w:tcBorders>
          </w:tcPr>
          <w:p w14:paraId="6DB59ADF" w14:textId="77777777" w:rsidR="001B6146" w:rsidRDefault="00000000">
            <w:pPr>
              <w:spacing w:after="0" w:line="259" w:lineRule="auto"/>
              <w:ind w:left="1" w:right="0" w:firstLine="0"/>
              <w:jc w:val="left"/>
            </w:pPr>
            <w:r>
              <w:rPr>
                <w:sz w:val="20"/>
              </w:rPr>
              <w:t>Yes</w:t>
            </w:r>
          </w:p>
        </w:tc>
      </w:tr>
    </w:tbl>
    <w:p w14:paraId="77812250" w14:textId="77777777" w:rsidR="001B6146" w:rsidRDefault="00000000">
      <w:pPr>
        <w:pStyle w:val="Heading1"/>
        <w:ind w:left="561" w:right="366"/>
      </w:pPr>
      <w:r>
        <w:t>Oracle</w:t>
      </w:r>
    </w:p>
    <w:p w14:paraId="300E50F9"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Every statement has a start timestamp, which is used to create a database snapshot relative to this particular point-in-time. This way, writers can still update the currently selected records, and the database can simply reconstruct the previous versions that were available when the query started. Subsequent query executions can return different row versions, so non-repeatable reads are permitted.</w:t>
      </w:r>
    </w:p>
    <w:p w14:paraId="30452851"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193" w:line="265" w:lineRule="auto"/>
        <w:ind w:left="561" w:right="366"/>
      </w:pPr>
      <w:r>
        <w:rPr>
          <w:sz w:val="20"/>
        </w:rPr>
        <w:t>When two transactions attempt to update the same record, the first one locks the record to prevent dirty writes. The second transaction must wait until the first transaction releases the lock (either commit or rollback), and the statement filtering criteria are reevaluated against latest data.</w:t>
      </w:r>
    </w:p>
    <w:p w14:paraId="68286651" w14:textId="77777777" w:rsidR="001B6146" w:rsidRDefault="00000000">
      <w:pPr>
        <w:pStyle w:val="Heading1"/>
        <w:ind w:left="561" w:right="366"/>
      </w:pPr>
      <w:r>
        <w:t>PostgreSQL</w:t>
      </w:r>
    </w:p>
    <w:p w14:paraId="70EA28C9"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Like Oracle, every query sees a database snapshot as of the beginning of the currently running query. Because shared locks are not used to protect previously read records from being modified, Read Committed allows a large spectrum of data anomalies.</w:t>
      </w:r>
    </w:p>
    <w:p w14:paraId="622B8E6B"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637" w:line="265" w:lineRule="auto"/>
        <w:ind w:left="561" w:right="366"/>
      </w:pPr>
      <w:r>
        <w:rPr>
          <w:sz w:val="20"/>
        </w:rPr>
        <w:t xml:space="preserve">Exclusive locks prevent write-write conflicts, so when two transactions update the same record, the second one waits for the first transaction to release its locks. When the second transaction resumes its execution, </w:t>
      </w:r>
      <w:r>
        <w:rPr>
          <w:sz w:val="20"/>
        </w:rPr>
        <w:lastRenderedPageBreak/>
        <w:t>if the filtering criteria are still relevant, it might overwrite the first transaction modifications, therefore causing lost updates.</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5103A394" w14:textId="77777777">
        <w:trPr>
          <w:trHeight w:val="397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C039230" w14:textId="77777777" w:rsidR="001B6146" w:rsidRDefault="00000000">
            <w:pPr>
              <w:spacing w:after="0" w:line="259" w:lineRule="auto"/>
              <w:ind w:left="0" w:right="0" w:firstLine="0"/>
              <w:jc w:val="left"/>
            </w:pPr>
            <w:r>
              <w:rPr>
                <w:rFonts w:ascii="Open Sans" w:eastAsia="Open Sans" w:hAnsi="Open Sans" w:cs="Open Sans"/>
                <w:b/>
                <w:sz w:val="26"/>
              </w:rPr>
              <w:t>MySQL</w:t>
            </w:r>
          </w:p>
          <w:p w14:paraId="700C03D1" w14:textId="77777777" w:rsidR="001B6146" w:rsidRDefault="00000000">
            <w:pPr>
              <w:spacing w:after="129" w:line="261" w:lineRule="auto"/>
              <w:ind w:left="0" w:right="0" w:firstLine="0"/>
            </w:pPr>
            <w:r>
              <w:rPr>
                <w:sz w:val="20"/>
              </w:rPr>
              <w:t>Query-time snapshots are used to isolate statements from other concurrent transactions. When explicitly acquiring shared or exclusive locks or when issuing update or delete statements (which acquire exclusive locks to prevent dirty writes), if the selected rows are filtered by unique search criteria (e.g. primary key), the locks can be applied to the associated index entries.</w:t>
            </w:r>
          </w:p>
          <w:p w14:paraId="17FB549A" w14:textId="77777777" w:rsidR="001B6146" w:rsidRDefault="00000000">
            <w:pPr>
              <w:spacing w:after="0" w:line="266" w:lineRule="auto"/>
              <w:ind w:left="0" w:right="0" w:firstLine="0"/>
            </w:pPr>
            <w:hyperlink r:id="rId18" w:anchor="idm140311316367072">
              <w:r>
                <w:rPr>
                  <w:color w:val="000099"/>
                  <w:sz w:val="20"/>
                </w:rPr>
                <w:t>Prior to 5.7</w:t>
              </w:r>
            </w:hyperlink>
            <w:r>
              <w:rPr>
                <w:i/>
                <w:color w:val="000099"/>
                <w:sz w:val="20"/>
                <w:vertAlign w:val="superscript"/>
              </w:rPr>
              <w:t>a</w:t>
            </w:r>
            <w:r>
              <w:rPr>
                <w:sz w:val="20"/>
              </w:rPr>
              <w:t>, if the modifying statements used a range filter and the search criteria took advantage of a unique index scan, then the database could use a gap or a next-key lock (therefore protecting against phantom reads as well). Statement-based replication is not available for Read Committed, so the application must use the row-based binary logging instead.</w:t>
            </w:r>
          </w:p>
          <w:p w14:paraId="1FE94C2C"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DE428E6" wp14:editId="7501CEC0">
                      <wp:extent cx="2140547" cy="5061"/>
                      <wp:effectExtent l="0" t="0" r="0" b="0"/>
                      <wp:docPr id="19065" name="Group 1906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90" name="Shape 59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65" style="width:168.547pt;height:0.3985pt;mso-position-horizontal-relative:char;mso-position-vertical-relative:line" coordsize="21405,50">
                      <v:shape id="Shape 590" style="position:absolute;width:21405;height:0;left:0;top:0;" coordsize="2140547,0" path="m0,0l2140547,0">
                        <v:stroke weight="0.3985pt" endcap="flat" joinstyle="miter" miterlimit="10" on="true" color="#000000"/>
                        <v:fill on="false" color="#000000" opacity="0"/>
                      </v:shape>
                    </v:group>
                  </w:pict>
                </mc:Fallback>
              </mc:AlternateContent>
            </w:r>
          </w:p>
          <w:p w14:paraId="541BFE9D" w14:textId="77777777" w:rsidR="001B6146" w:rsidRDefault="00000000">
            <w:pPr>
              <w:spacing w:after="0" w:line="259" w:lineRule="auto"/>
              <w:ind w:left="277" w:right="0" w:firstLine="0"/>
              <w:jc w:val="left"/>
            </w:pPr>
            <w:r>
              <w:rPr>
                <w:i/>
                <w:sz w:val="20"/>
                <w:vertAlign w:val="superscript"/>
              </w:rPr>
              <w:t>a</w:t>
            </w:r>
            <w:hyperlink r:id="rId19" w:anchor="idm140311316367072">
              <w:r>
                <w:rPr>
                  <w:color w:val="000099"/>
                  <w:sz w:val="15"/>
                </w:rPr>
                <w:t>https://dev.mysql.com/doc/refman/5.7/en/set-transaction.html#idm140311316367072</w:t>
              </w:r>
            </w:hyperlink>
          </w:p>
        </w:tc>
      </w:tr>
    </w:tbl>
    <w:p w14:paraId="13A736BD" w14:textId="77777777" w:rsidR="001B6146" w:rsidRDefault="00000000">
      <w:pPr>
        <w:pStyle w:val="Heading1"/>
        <w:ind w:left="561" w:right="183"/>
      </w:pPr>
      <w:r>
        <w:t>SQL Server</w:t>
      </w:r>
    </w:p>
    <w:p w14:paraId="10EBBF90"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098" w:line="265" w:lineRule="auto"/>
        <w:ind w:left="561" w:right="183"/>
      </w:pPr>
      <w:r>
        <w:rPr>
          <w:sz w:val="20"/>
        </w:rPr>
        <w:t>By default, SQL statements use shared locks to prevent other transactions from modifying the currently fetched records. The locks are released by the time the query finishes executing. When activating Read Committed Snapshot Isolation, the database does not use shared locks anymore, and each query selects the row version as it was when the query started.</w:t>
      </w:r>
    </w:p>
    <w:p w14:paraId="3F20B50E" w14:textId="77777777" w:rsidR="001B6146" w:rsidRDefault="00000000">
      <w:pPr>
        <w:pStyle w:val="Heading2"/>
        <w:ind w:left="-5"/>
      </w:pPr>
      <w:r>
        <w:t>6.3.3.3 Repeatable Read</w:t>
      </w:r>
    </w:p>
    <w:p w14:paraId="64CEA756" w14:textId="77777777" w:rsidR="001B6146" w:rsidRDefault="00000000">
      <w:pPr>
        <w:spacing w:after="386"/>
        <w:ind w:left="-5" w:right="0"/>
      </w:pPr>
      <w:r>
        <w:t>One of the least compliant isolation levels, Repeatable Read implementation details leak into its phenomena prevention spectrum:</w:t>
      </w:r>
    </w:p>
    <w:p w14:paraId="66F6727F" w14:textId="77777777" w:rsidR="001B6146" w:rsidRDefault="00000000">
      <w:pPr>
        <w:pStyle w:val="Heading3"/>
        <w:spacing w:after="0"/>
        <w:ind w:right="66"/>
      </w:pPr>
      <w:r>
        <w:t>Table 6.4: Repeatable Read phenomena occurrence</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8"/>
        <w:gridCol w:w="2538"/>
        <w:gridCol w:w="3753"/>
        <w:gridCol w:w="1752"/>
        <w:gridCol w:w="1301"/>
        <w:gridCol w:w="8"/>
      </w:tblGrid>
      <w:tr w:rsidR="001B6146" w14:paraId="06B61072" w14:textId="77777777">
        <w:trPr>
          <w:gridAfter w:val="1"/>
          <w:wAfter w:w="8" w:type="dxa"/>
          <w:trHeight w:val="261"/>
        </w:trPr>
        <w:tc>
          <w:tcPr>
            <w:tcW w:w="2548" w:type="dxa"/>
            <w:gridSpan w:val="2"/>
            <w:tcBorders>
              <w:top w:val="nil"/>
              <w:left w:val="nil"/>
              <w:bottom w:val="nil"/>
              <w:right w:val="nil"/>
            </w:tcBorders>
          </w:tcPr>
          <w:p w14:paraId="17934D54" w14:textId="77777777" w:rsidR="001B6146" w:rsidRDefault="00000000">
            <w:pPr>
              <w:spacing w:after="0" w:line="259" w:lineRule="auto"/>
              <w:ind w:left="120" w:right="0" w:firstLine="0"/>
              <w:jc w:val="left"/>
            </w:pPr>
            <w:r>
              <w:rPr>
                <w:b/>
                <w:sz w:val="20"/>
              </w:rPr>
              <w:t>Phenomena</w:t>
            </w:r>
          </w:p>
        </w:tc>
        <w:tc>
          <w:tcPr>
            <w:tcW w:w="3757" w:type="dxa"/>
            <w:tcBorders>
              <w:top w:val="nil"/>
              <w:left w:val="nil"/>
              <w:bottom w:val="nil"/>
              <w:right w:val="nil"/>
            </w:tcBorders>
          </w:tcPr>
          <w:p w14:paraId="090A452B" w14:textId="77777777" w:rsidR="001B6146" w:rsidRDefault="00000000">
            <w:pPr>
              <w:spacing w:after="0" w:line="259" w:lineRule="auto"/>
              <w:ind w:left="613" w:right="0" w:firstLine="0"/>
              <w:jc w:val="center"/>
            </w:pPr>
            <w:r>
              <w:rPr>
                <w:b/>
                <w:sz w:val="20"/>
              </w:rPr>
              <w:t>SQL Server</w:t>
            </w:r>
          </w:p>
        </w:tc>
        <w:tc>
          <w:tcPr>
            <w:tcW w:w="1753" w:type="dxa"/>
            <w:tcBorders>
              <w:top w:val="nil"/>
              <w:left w:val="nil"/>
              <w:bottom w:val="nil"/>
              <w:right w:val="nil"/>
            </w:tcBorders>
          </w:tcPr>
          <w:p w14:paraId="6A0C3831" w14:textId="77777777" w:rsidR="001B6146" w:rsidRDefault="00000000">
            <w:pPr>
              <w:spacing w:after="0" w:line="259" w:lineRule="auto"/>
              <w:ind w:left="0" w:right="0" w:firstLine="0"/>
              <w:jc w:val="left"/>
            </w:pPr>
            <w:r>
              <w:rPr>
                <w:b/>
                <w:sz w:val="20"/>
              </w:rPr>
              <w:t>PostgreSQL</w:t>
            </w:r>
          </w:p>
        </w:tc>
        <w:tc>
          <w:tcPr>
            <w:tcW w:w="1302" w:type="dxa"/>
            <w:tcBorders>
              <w:top w:val="nil"/>
              <w:left w:val="nil"/>
              <w:bottom w:val="nil"/>
              <w:right w:val="nil"/>
            </w:tcBorders>
          </w:tcPr>
          <w:p w14:paraId="71D4AB21" w14:textId="77777777" w:rsidR="001B6146" w:rsidRDefault="00000000">
            <w:pPr>
              <w:spacing w:after="0" w:line="259" w:lineRule="auto"/>
              <w:ind w:left="0" w:right="0" w:firstLine="0"/>
              <w:jc w:val="left"/>
            </w:pPr>
            <w:r>
              <w:rPr>
                <w:b/>
                <w:sz w:val="20"/>
              </w:rPr>
              <w:t>MySQL</w:t>
            </w:r>
          </w:p>
        </w:tc>
      </w:tr>
      <w:tr w:rsidR="001B6146" w14:paraId="1B7CF59F" w14:textId="77777777">
        <w:trPr>
          <w:gridAfter w:val="1"/>
          <w:wAfter w:w="8" w:type="dxa"/>
          <w:trHeight w:val="252"/>
        </w:trPr>
        <w:tc>
          <w:tcPr>
            <w:tcW w:w="2548" w:type="dxa"/>
            <w:gridSpan w:val="2"/>
            <w:tcBorders>
              <w:top w:val="nil"/>
              <w:left w:val="nil"/>
              <w:bottom w:val="nil"/>
              <w:right w:val="nil"/>
            </w:tcBorders>
          </w:tcPr>
          <w:p w14:paraId="11A197D8" w14:textId="77777777" w:rsidR="001B6146" w:rsidRDefault="00000000">
            <w:pPr>
              <w:spacing w:after="0" w:line="259" w:lineRule="auto"/>
              <w:ind w:left="120" w:right="0" w:firstLine="0"/>
              <w:jc w:val="left"/>
            </w:pPr>
            <w:r>
              <w:rPr>
                <w:sz w:val="20"/>
              </w:rPr>
              <w:t>Dirty Write</w:t>
            </w:r>
          </w:p>
        </w:tc>
        <w:tc>
          <w:tcPr>
            <w:tcW w:w="3757" w:type="dxa"/>
            <w:tcBorders>
              <w:top w:val="nil"/>
              <w:left w:val="nil"/>
              <w:bottom w:val="nil"/>
              <w:right w:val="nil"/>
            </w:tcBorders>
          </w:tcPr>
          <w:p w14:paraId="7F4AF64F" w14:textId="77777777" w:rsidR="001B6146" w:rsidRDefault="00000000">
            <w:pPr>
              <w:spacing w:after="0" w:line="259" w:lineRule="auto"/>
              <w:ind w:left="613" w:right="0" w:firstLine="0"/>
              <w:jc w:val="center"/>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61659BBA" wp14:editId="121411B4">
                      <wp:simplePos x="0" y="0"/>
                      <wp:positionH relativeFrom="column">
                        <wp:posOffset>-1617890</wp:posOffset>
                      </wp:positionH>
                      <wp:positionV relativeFrom="paragraph">
                        <wp:posOffset>5348</wp:posOffset>
                      </wp:positionV>
                      <wp:extent cx="5943600" cy="5061"/>
                      <wp:effectExtent l="0" t="0" r="0" b="0"/>
                      <wp:wrapNone/>
                      <wp:docPr id="19373" name="Group 19373"/>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23" name="Shape 62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4" name="Shape 62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373" style="width:468pt;height:0.3985pt;position:absolute;z-index:-2147483630;mso-position-horizontal-relative:text;mso-position-horizontal:absolute;margin-left:-127.393pt;mso-position-vertical-relative:text;margin-top:0.421082pt;" coordsize="59436,50">
                      <v:shape id="Shape 623" style="position:absolute;width:59436;height:0;left:0;top:0;" coordsize="5943600,0" path="m0,0l5943600,0">
                        <v:stroke weight="0.3985pt" endcap="flat" joinstyle="miter" miterlimit="10" on="true" color="#000000"/>
                        <v:fill on="false" color="#000000" opacity="0"/>
                      </v:shape>
                      <v:shape id="Shape 624" style="position:absolute;width:59436;height:0;left:0;top:0;" coordsize="5943600,0" path="m0,0l5943600,0">
                        <v:stroke weight="0.3985pt" endcap="flat" joinstyle="miter" miterlimit="10" on="true" color="#000000"/>
                        <v:fill on="false" color="#000000" opacity="0"/>
                      </v:shape>
                    </v:group>
                  </w:pict>
                </mc:Fallback>
              </mc:AlternateContent>
            </w:r>
            <w:r>
              <w:rPr>
                <w:sz w:val="20"/>
              </w:rPr>
              <w:t>No</w:t>
            </w:r>
          </w:p>
        </w:tc>
        <w:tc>
          <w:tcPr>
            <w:tcW w:w="1753" w:type="dxa"/>
            <w:tcBorders>
              <w:top w:val="nil"/>
              <w:left w:val="nil"/>
              <w:bottom w:val="nil"/>
              <w:right w:val="nil"/>
            </w:tcBorders>
          </w:tcPr>
          <w:p w14:paraId="79D8216B"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7386F549" w14:textId="77777777" w:rsidR="001B6146" w:rsidRDefault="00000000">
            <w:pPr>
              <w:spacing w:after="0" w:line="259" w:lineRule="auto"/>
              <w:ind w:left="0" w:right="0" w:firstLine="0"/>
              <w:jc w:val="left"/>
            </w:pPr>
            <w:r>
              <w:rPr>
                <w:sz w:val="20"/>
              </w:rPr>
              <w:t>No</w:t>
            </w:r>
          </w:p>
        </w:tc>
      </w:tr>
      <w:tr w:rsidR="001B6146" w14:paraId="11B007C8" w14:textId="77777777">
        <w:trPr>
          <w:gridAfter w:val="1"/>
          <w:wAfter w:w="8" w:type="dxa"/>
          <w:trHeight w:val="248"/>
        </w:trPr>
        <w:tc>
          <w:tcPr>
            <w:tcW w:w="2548" w:type="dxa"/>
            <w:gridSpan w:val="2"/>
            <w:tcBorders>
              <w:top w:val="nil"/>
              <w:left w:val="nil"/>
              <w:bottom w:val="nil"/>
              <w:right w:val="nil"/>
            </w:tcBorders>
          </w:tcPr>
          <w:p w14:paraId="23E7913B" w14:textId="77777777" w:rsidR="001B6146" w:rsidRDefault="00000000">
            <w:pPr>
              <w:spacing w:after="0" w:line="259" w:lineRule="auto"/>
              <w:ind w:left="120" w:right="0" w:firstLine="0"/>
              <w:jc w:val="left"/>
            </w:pPr>
            <w:r>
              <w:rPr>
                <w:sz w:val="20"/>
              </w:rPr>
              <w:t>Dirty Read</w:t>
            </w:r>
          </w:p>
        </w:tc>
        <w:tc>
          <w:tcPr>
            <w:tcW w:w="3757" w:type="dxa"/>
            <w:tcBorders>
              <w:top w:val="nil"/>
              <w:left w:val="nil"/>
              <w:bottom w:val="nil"/>
              <w:right w:val="nil"/>
            </w:tcBorders>
          </w:tcPr>
          <w:p w14:paraId="05BB4E51" w14:textId="77777777" w:rsidR="001B6146" w:rsidRDefault="00000000">
            <w:pPr>
              <w:spacing w:after="0" w:line="259" w:lineRule="auto"/>
              <w:ind w:left="613" w:right="0" w:firstLine="0"/>
              <w:jc w:val="center"/>
            </w:pPr>
            <w:r>
              <w:rPr>
                <w:sz w:val="20"/>
              </w:rPr>
              <w:t>No</w:t>
            </w:r>
          </w:p>
        </w:tc>
        <w:tc>
          <w:tcPr>
            <w:tcW w:w="1753" w:type="dxa"/>
            <w:tcBorders>
              <w:top w:val="nil"/>
              <w:left w:val="nil"/>
              <w:bottom w:val="nil"/>
              <w:right w:val="nil"/>
            </w:tcBorders>
          </w:tcPr>
          <w:p w14:paraId="7DB830A5"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1E2F2520" w14:textId="77777777" w:rsidR="001B6146" w:rsidRDefault="00000000">
            <w:pPr>
              <w:spacing w:after="0" w:line="259" w:lineRule="auto"/>
              <w:ind w:left="0" w:right="0" w:firstLine="0"/>
              <w:jc w:val="left"/>
            </w:pPr>
            <w:r>
              <w:rPr>
                <w:sz w:val="20"/>
              </w:rPr>
              <w:t>No</w:t>
            </w:r>
          </w:p>
        </w:tc>
      </w:tr>
      <w:tr w:rsidR="001B6146" w14:paraId="1B76EB83" w14:textId="77777777">
        <w:trPr>
          <w:gridAfter w:val="1"/>
          <w:wAfter w:w="8" w:type="dxa"/>
          <w:trHeight w:val="248"/>
        </w:trPr>
        <w:tc>
          <w:tcPr>
            <w:tcW w:w="2548" w:type="dxa"/>
            <w:gridSpan w:val="2"/>
            <w:tcBorders>
              <w:top w:val="nil"/>
              <w:left w:val="nil"/>
              <w:bottom w:val="nil"/>
              <w:right w:val="nil"/>
            </w:tcBorders>
          </w:tcPr>
          <w:p w14:paraId="29273E40" w14:textId="77777777" w:rsidR="001B6146" w:rsidRDefault="00000000">
            <w:pPr>
              <w:spacing w:after="0" w:line="259" w:lineRule="auto"/>
              <w:ind w:left="120" w:right="0" w:firstLine="0"/>
              <w:jc w:val="left"/>
            </w:pPr>
            <w:r>
              <w:rPr>
                <w:sz w:val="20"/>
              </w:rPr>
              <w:t>Non-Repeatable Read</w:t>
            </w:r>
          </w:p>
        </w:tc>
        <w:tc>
          <w:tcPr>
            <w:tcW w:w="3757" w:type="dxa"/>
            <w:tcBorders>
              <w:top w:val="nil"/>
              <w:left w:val="nil"/>
              <w:bottom w:val="nil"/>
              <w:right w:val="nil"/>
            </w:tcBorders>
          </w:tcPr>
          <w:p w14:paraId="618BF8BC" w14:textId="77777777" w:rsidR="001B6146" w:rsidRDefault="00000000">
            <w:pPr>
              <w:spacing w:after="0" w:line="259" w:lineRule="auto"/>
              <w:ind w:left="613" w:right="0" w:firstLine="0"/>
              <w:jc w:val="center"/>
            </w:pPr>
            <w:r>
              <w:rPr>
                <w:sz w:val="20"/>
              </w:rPr>
              <w:t>No</w:t>
            </w:r>
          </w:p>
        </w:tc>
        <w:tc>
          <w:tcPr>
            <w:tcW w:w="1753" w:type="dxa"/>
            <w:tcBorders>
              <w:top w:val="nil"/>
              <w:left w:val="nil"/>
              <w:bottom w:val="nil"/>
              <w:right w:val="nil"/>
            </w:tcBorders>
          </w:tcPr>
          <w:p w14:paraId="51D23C2E"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095BA288" w14:textId="77777777" w:rsidR="001B6146" w:rsidRDefault="00000000">
            <w:pPr>
              <w:spacing w:after="0" w:line="259" w:lineRule="auto"/>
              <w:ind w:left="0" w:right="0" w:firstLine="0"/>
              <w:jc w:val="left"/>
            </w:pPr>
            <w:r>
              <w:rPr>
                <w:sz w:val="20"/>
              </w:rPr>
              <w:t>No</w:t>
            </w:r>
          </w:p>
        </w:tc>
      </w:tr>
      <w:tr w:rsidR="001B6146" w14:paraId="278A3150" w14:textId="77777777">
        <w:trPr>
          <w:gridAfter w:val="1"/>
          <w:wAfter w:w="8" w:type="dxa"/>
          <w:trHeight w:val="248"/>
        </w:trPr>
        <w:tc>
          <w:tcPr>
            <w:tcW w:w="2548" w:type="dxa"/>
            <w:gridSpan w:val="2"/>
            <w:tcBorders>
              <w:top w:val="nil"/>
              <w:left w:val="nil"/>
              <w:bottom w:val="nil"/>
              <w:right w:val="nil"/>
            </w:tcBorders>
          </w:tcPr>
          <w:p w14:paraId="3C35CB98" w14:textId="77777777" w:rsidR="001B6146" w:rsidRDefault="00000000">
            <w:pPr>
              <w:spacing w:after="0" w:line="259" w:lineRule="auto"/>
              <w:ind w:left="120" w:right="0" w:firstLine="0"/>
              <w:jc w:val="left"/>
            </w:pPr>
            <w:r>
              <w:rPr>
                <w:sz w:val="20"/>
              </w:rPr>
              <w:t>Phantom Read</w:t>
            </w:r>
          </w:p>
        </w:tc>
        <w:tc>
          <w:tcPr>
            <w:tcW w:w="3757" w:type="dxa"/>
            <w:tcBorders>
              <w:top w:val="nil"/>
              <w:left w:val="nil"/>
              <w:bottom w:val="nil"/>
              <w:right w:val="nil"/>
            </w:tcBorders>
          </w:tcPr>
          <w:p w14:paraId="76D0593C" w14:textId="77777777" w:rsidR="001B6146" w:rsidRDefault="00000000">
            <w:pPr>
              <w:spacing w:after="0" w:line="259" w:lineRule="auto"/>
              <w:ind w:left="613" w:right="0" w:firstLine="0"/>
              <w:jc w:val="center"/>
            </w:pPr>
            <w:r>
              <w:rPr>
                <w:sz w:val="20"/>
              </w:rPr>
              <w:t>Yes</w:t>
            </w:r>
          </w:p>
        </w:tc>
        <w:tc>
          <w:tcPr>
            <w:tcW w:w="1753" w:type="dxa"/>
            <w:tcBorders>
              <w:top w:val="nil"/>
              <w:left w:val="nil"/>
              <w:bottom w:val="nil"/>
              <w:right w:val="nil"/>
            </w:tcBorders>
          </w:tcPr>
          <w:p w14:paraId="31FC5CE4"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398467AD" w14:textId="77777777" w:rsidR="001B6146" w:rsidRDefault="00000000">
            <w:pPr>
              <w:spacing w:after="0" w:line="259" w:lineRule="auto"/>
              <w:ind w:left="0" w:right="0" w:firstLine="0"/>
              <w:jc w:val="left"/>
            </w:pPr>
            <w:r>
              <w:rPr>
                <w:sz w:val="20"/>
              </w:rPr>
              <w:t>No</w:t>
            </w:r>
          </w:p>
        </w:tc>
      </w:tr>
      <w:tr w:rsidR="001B6146" w14:paraId="0069E66A" w14:textId="77777777">
        <w:trPr>
          <w:gridAfter w:val="1"/>
          <w:wAfter w:w="8" w:type="dxa"/>
          <w:trHeight w:val="248"/>
        </w:trPr>
        <w:tc>
          <w:tcPr>
            <w:tcW w:w="2548" w:type="dxa"/>
            <w:gridSpan w:val="2"/>
            <w:tcBorders>
              <w:top w:val="nil"/>
              <w:left w:val="nil"/>
              <w:bottom w:val="nil"/>
              <w:right w:val="nil"/>
            </w:tcBorders>
          </w:tcPr>
          <w:p w14:paraId="7B929F41" w14:textId="77777777" w:rsidR="001B6146" w:rsidRDefault="00000000">
            <w:pPr>
              <w:spacing w:after="0" w:line="259" w:lineRule="auto"/>
              <w:ind w:left="120" w:right="0" w:firstLine="0"/>
              <w:jc w:val="left"/>
            </w:pPr>
            <w:r>
              <w:rPr>
                <w:sz w:val="20"/>
              </w:rPr>
              <w:t>Read Skew</w:t>
            </w:r>
          </w:p>
        </w:tc>
        <w:tc>
          <w:tcPr>
            <w:tcW w:w="3757" w:type="dxa"/>
            <w:tcBorders>
              <w:top w:val="nil"/>
              <w:left w:val="nil"/>
              <w:bottom w:val="nil"/>
              <w:right w:val="nil"/>
            </w:tcBorders>
          </w:tcPr>
          <w:p w14:paraId="42F46E9C" w14:textId="77777777" w:rsidR="001B6146" w:rsidRDefault="00000000">
            <w:pPr>
              <w:spacing w:after="0" w:line="259" w:lineRule="auto"/>
              <w:ind w:left="613" w:right="0" w:firstLine="0"/>
              <w:jc w:val="center"/>
            </w:pPr>
            <w:r>
              <w:rPr>
                <w:sz w:val="20"/>
              </w:rPr>
              <w:t>No</w:t>
            </w:r>
          </w:p>
        </w:tc>
        <w:tc>
          <w:tcPr>
            <w:tcW w:w="1753" w:type="dxa"/>
            <w:tcBorders>
              <w:top w:val="nil"/>
              <w:left w:val="nil"/>
              <w:bottom w:val="nil"/>
              <w:right w:val="nil"/>
            </w:tcBorders>
          </w:tcPr>
          <w:p w14:paraId="36442306"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6F007A8A" w14:textId="77777777" w:rsidR="001B6146" w:rsidRDefault="00000000">
            <w:pPr>
              <w:spacing w:after="0" w:line="259" w:lineRule="auto"/>
              <w:ind w:left="0" w:right="0" w:firstLine="0"/>
              <w:jc w:val="left"/>
            </w:pPr>
            <w:r>
              <w:rPr>
                <w:sz w:val="20"/>
              </w:rPr>
              <w:t>No</w:t>
            </w:r>
          </w:p>
        </w:tc>
      </w:tr>
      <w:tr w:rsidR="001B6146" w14:paraId="096B4186" w14:textId="77777777">
        <w:trPr>
          <w:gridAfter w:val="1"/>
          <w:wAfter w:w="8" w:type="dxa"/>
          <w:trHeight w:val="248"/>
        </w:trPr>
        <w:tc>
          <w:tcPr>
            <w:tcW w:w="2548" w:type="dxa"/>
            <w:gridSpan w:val="2"/>
            <w:tcBorders>
              <w:top w:val="nil"/>
              <w:left w:val="nil"/>
              <w:bottom w:val="nil"/>
              <w:right w:val="nil"/>
            </w:tcBorders>
          </w:tcPr>
          <w:p w14:paraId="79B921BC" w14:textId="77777777" w:rsidR="001B6146" w:rsidRDefault="00000000">
            <w:pPr>
              <w:spacing w:after="0" w:line="259" w:lineRule="auto"/>
              <w:ind w:left="120" w:right="0" w:firstLine="0"/>
              <w:jc w:val="left"/>
            </w:pPr>
            <w:r>
              <w:rPr>
                <w:sz w:val="20"/>
              </w:rPr>
              <w:t>Write Skew</w:t>
            </w:r>
          </w:p>
        </w:tc>
        <w:tc>
          <w:tcPr>
            <w:tcW w:w="3757" w:type="dxa"/>
            <w:tcBorders>
              <w:top w:val="nil"/>
              <w:left w:val="nil"/>
              <w:bottom w:val="nil"/>
              <w:right w:val="nil"/>
            </w:tcBorders>
          </w:tcPr>
          <w:p w14:paraId="4E501019" w14:textId="77777777" w:rsidR="001B6146" w:rsidRDefault="00000000">
            <w:pPr>
              <w:spacing w:after="0" w:line="259" w:lineRule="auto"/>
              <w:ind w:left="613" w:right="0" w:firstLine="0"/>
              <w:jc w:val="center"/>
            </w:pPr>
            <w:r>
              <w:rPr>
                <w:sz w:val="20"/>
              </w:rPr>
              <w:t>No</w:t>
            </w:r>
          </w:p>
        </w:tc>
        <w:tc>
          <w:tcPr>
            <w:tcW w:w="1753" w:type="dxa"/>
            <w:tcBorders>
              <w:top w:val="nil"/>
              <w:left w:val="nil"/>
              <w:bottom w:val="nil"/>
              <w:right w:val="nil"/>
            </w:tcBorders>
          </w:tcPr>
          <w:p w14:paraId="70867F66" w14:textId="77777777" w:rsidR="001B6146" w:rsidRDefault="00000000">
            <w:pPr>
              <w:spacing w:after="0" w:line="259" w:lineRule="auto"/>
              <w:ind w:left="396" w:right="0" w:firstLine="0"/>
              <w:jc w:val="left"/>
            </w:pPr>
            <w:r>
              <w:rPr>
                <w:sz w:val="20"/>
              </w:rPr>
              <w:t>Yes</w:t>
            </w:r>
          </w:p>
        </w:tc>
        <w:tc>
          <w:tcPr>
            <w:tcW w:w="1302" w:type="dxa"/>
            <w:tcBorders>
              <w:top w:val="nil"/>
              <w:left w:val="nil"/>
              <w:bottom w:val="nil"/>
              <w:right w:val="nil"/>
            </w:tcBorders>
          </w:tcPr>
          <w:p w14:paraId="72D2509B" w14:textId="77777777" w:rsidR="001B6146" w:rsidRDefault="00000000">
            <w:pPr>
              <w:spacing w:after="0" w:line="259" w:lineRule="auto"/>
              <w:ind w:left="0" w:right="0" w:firstLine="0"/>
              <w:jc w:val="left"/>
            </w:pPr>
            <w:r>
              <w:rPr>
                <w:sz w:val="20"/>
              </w:rPr>
              <w:t>Yes</w:t>
            </w:r>
          </w:p>
        </w:tc>
      </w:tr>
      <w:tr w:rsidR="001B6146" w14:paraId="3BB072A9" w14:textId="77777777">
        <w:trPr>
          <w:gridAfter w:val="1"/>
          <w:wAfter w:w="8" w:type="dxa"/>
          <w:trHeight w:val="244"/>
        </w:trPr>
        <w:tc>
          <w:tcPr>
            <w:tcW w:w="2548" w:type="dxa"/>
            <w:gridSpan w:val="2"/>
            <w:tcBorders>
              <w:top w:val="nil"/>
              <w:left w:val="nil"/>
              <w:bottom w:val="nil"/>
              <w:right w:val="nil"/>
            </w:tcBorders>
          </w:tcPr>
          <w:p w14:paraId="72BD64DA" w14:textId="77777777" w:rsidR="001B6146" w:rsidRDefault="00000000">
            <w:pPr>
              <w:spacing w:after="0" w:line="259" w:lineRule="auto"/>
              <w:ind w:left="120" w:right="0" w:firstLine="0"/>
              <w:jc w:val="left"/>
            </w:pPr>
            <w:r>
              <w:rPr>
                <w:sz w:val="20"/>
              </w:rPr>
              <w:t>Lost Update</w:t>
            </w:r>
          </w:p>
        </w:tc>
        <w:tc>
          <w:tcPr>
            <w:tcW w:w="3757" w:type="dxa"/>
            <w:tcBorders>
              <w:top w:val="nil"/>
              <w:left w:val="nil"/>
              <w:bottom w:val="nil"/>
              <w:right w:val="nil"/>
            </w:tcBorders>
          </w:tcPr>
          <w:p w14:paraId="66D301B8" w14:textId="77777777" w:rsidR="001B6146" w:rsidRDefault="00000000">
            <w:pPr>
              <w:spacing w:after="0" w:line="259" w:lineRule="auto"/>
              <w:ind w:left="613" w:right="0" w:firstLine="0"/>
              <w:jc w:val="center"/>
            </w:pPr>
            <w:r>
              <w:rPr>
                <w:sz w:val="20"/>
              </w:rPr>
              <w:t>No</w:t>
            </w:r>
          </w:p>
        </w:tc>
        <w:tc>
          <w:tcPr>
            <w:tcW w:w="1753" w:type="dxa"/>
            <w:tcBorders>
              <w:top w:val="nil"/>
              <w:left w:val="nil"/>
              <w:bottom w:val="nil"/>
              <w:right w:val="nil"/>
            </w:tcBorders>
          </w:tcPr>
          <w:p w14:paraId="47F5D9DE" w14:textId="77777777" w:rsidR="001B6146" w:rsidRDefault="00000000">
            <w:pPr>
              <w:spacing w:after="0" w:line="259" w:lineRule="auto"/>
              <w:ind w:left="421" w:right="0" w:firstLine="0"/>
              <w:jc w:val="left"/>
            </w:pPr>
            <w:r>
              <w:rPr>
                <w:sz w:val="20"/>
              </w:rPr>
              <w:t>No</w:t>
            </w:r>
          </w:p>
        </w:tc>
        <w:tc>
          <w:tcPr>
            <w:tcW w:w="1302" w:type="dxa"/>
            <w:tcBorders>
              <w:top w:val="nil"/>
              <w:left w:val="nil"/>
              <w:bottom w:val="nil"/>
              <w:right w:val="nil"/>
            </w:tcBorders>
          </w:tcPr>
          <w:p w14:paraId="3DB3F450" w14:textId="77777777" w:rsidR="001B6146" w:rsidRDefault="00000000">
            <w:pPr>
              <w:spacing w:after="0" w:line="259" w:lineRule="auto"/>
              <w:ind w:left="0" w:right="0" w:firstLine="0"/>
              <w:jc w:val="left"/>
            </w:pPr>
            <w:r>
              <w:rPr>
                <w:sz w:val="20"/>
              </w:rPr>
              <w:t>Yes</w:t>
            </w:r>
          </w:p>
        </w:tc>
      </w:tr>
      <w:tr w:rsidR="001B6146" w14:paraId="163EA3E3" w14:textId="77777777">
        <w:trPr>
          <w:gridBefore w:val="1"/>
          <w:wBefore w:w="8" w:type="dxa"/>
          <w:trHeight w:val="2292"/>
        </w:trPr>
        <w:tc>
          <w:tcPr>
            <w:tcW w:w="9360" w:type="dxa"/>
            <w:gridSpan w:val="5"/>
            <w:tcBorders>
              <w:top w:val="single" w:sz="3" w:space="0" w:color="646464"/>
              <w:left w:val="single" w:sz="3" w:space="0" w:color="646464"/>
              <w:bottom w:val="single" w:sz="3" w:space="0" w:color="646464"/>
              <w:right w:val="single" w:sz="3" w:space="0" w:color="646464"/>
            </w:tcBorders>
            <w:shd w:val="clear" w:color="auto" w:fill="F0F0F0"/>
          </w:tcPr>
          <w:p w14:paraId="7B2B8FD0" w14:textId="77777777" w:rsidR="001B6146" w:rsidRDefault="00000000">
            <w:pPr>
              <w:spacing w:after="180" w:line="259" w:lineRule="auto"/>
              <w:ind w:left="0" w:right="0" w:firstLine="0"/>
              <w:jc w:val="left"/>
            </w:pPr>
            <w:r>
              <w:rPr>
                <w:rFonts w:ascii="Open Sans" w:eastAsia="Open Sans" w:hAnsi="Open Sans" w:cs="Open Sans"/>
                <w:b/>
                <w:sz w:val="26"/>
              </w:rPr>
              <w:lastRenderedPageBreak/>
              <w:t>Oracle</w:t>
            </w:r>
          </w:p>
          <w:p w14:paraId="51391745" w14:textId="77777777" w:rsidR="001B6146" w:rsidRDefault="00000000">
            <w:pPr>
              <w:spacing w:after="0" w:line="259" w:lineRule="auto"/>
              <w:ind w:left="120" w:right="0" w:firstLine="0"/>
            </w:pPr>
            <w:r>
              <w:rPr>
                <w:noProof/>
              </w:rPr>
              <w:drawing>
                <wp:anchor distT="0" distB="0" distL="114300" distR="114300" simplePos="0" relativeHeight="251664384" behindDoc="0" locked="0" layoutInCell="1" allowOverlap="0" wp14:anchorId="26F7E5C8" wp14:editId="0F36F6C3">
                  <wp:simplePos x="0" y="0"/>
                  <wp:positionH relativeFrom="column">
                    <wp:posOffset>432724</wp:posOffset>
                  </wp:positionH>
                  <wp:positionV relativeFrom="paragraph">
                    <wp:posOffset>-7053</wp:posOffset>
                  </wp:positionV>
                  <wp:extent cx="360001" cy="360001"/>
                  <wp:effectExtent l="0" t="0" r="0" b="0"/>
                  <wp:wrapSquare wrapText="bothSides"/>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17"/>
                          <a:stretch>
                            <a:fillRect/>
                          </a:stretch>
                        </pic:blipFill>
                        <pic:spPr>
                          <a:xfrm>
                            <a:off x="0" y="0"/>
                            <a:ext cx="360001" cy="360001"/>
                          </a:xfrm>
                          <a:prstGeom prst="rect">
                            <a:avLst/>
                          </a:prstGeom>
                        </pic:spPr>
                      </pic:pic>
                    </a:graphicData>
                  </a:graphic>
                </wp:anchor>
              </w:drawing>
            </w:r>
            <w:r>
              <w:rPr>
                <w:sz w:val="20"/>
              </w:rPr>
              <w:t>The Repeatable Read isolation is not supported at all, and the JDBC driver will throw an exception if the client tries to set it explicitly.</w:t>
            </w:r>
          </w:p>
        </w:tc>
      </w:tr>
    </w:tbl>
    <w:p w14:paraId="7C21EB91" w14:textId="77777777" w:rsidR="001B6146" w:rsidRDefault="00000000">
      <w:pPr>
        <w:pStyle w:val="Heading1"/>
        <w:ind w:left="561" w:right="183"/>
      </w:pPr>
      <w:r>
        <w:t>SQL Server</w:t>
      </w:r>
    </w:p>
    <w:p w14:paraId="3C570B0B"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183"/>
      </w:pPr>
      <w:r>
        <w:rPr>
          <w:sz w:val="20"/>
        </w:rPr>
        <w:t>For every row the client reads, the current transaction acquires a shared lock that prevents any other transaction from concurrently modifying it. The shared locks are released when the transaction either commits or rolls back.</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707A1E11" w14:textId="77777777">
        <w:trPr>
          <w:trHeight w:val="2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24F7817" w14:textId="77777777" w:rsidR="001B6146" w:rsidRDefault="00000000">
            <w:pPr>
              <w:spacing w:after="0" w:line="259" w:lineRule="auto"/>
              <w:ind w:left="0" w:right="0" w:firstLine="0"/>
              <w:jc w:val="left"/>
            </w:pPr>
            <w:r>
              <w:rPr>
                <w:rFonts w:ascii="Open Sans" w:eastAsia="Open Sans" w:hAnsi="Open Sans" w:cs="Open Sans"/>
                <w:b/>
                <w:sz w:val="26"/>
              </w:rPr>
              <w:t>PostgreSQL</w:t>
            </w:r>
          </w:p>
          <w:p w14:paraId="6DBEF50D" w14:textId="77777777" w:rsidR="001B6146" w:rsidRDefault="00000000">
            <w:pPr>
              <w:spacing w:after="0" w:line="266" w:lineRule="auto"/>
              <w:ind w:left="0" w:right="0" w:firstLine="0"/>
            </w:pPr>
            <w:r>
              <w:rPr>
                <w:sz w:val="20"/>
              </w:rPr>
              <w:t xml:space="preserve">The Repeatable Read is implemented using </w:t>
            </w:r>
            <w:hyperlink r:id="rId20">
              <w:r>
                <w:rPr>
                  <w:color w:val="000099"/>
                  <w:sz w:val="20"/>
                </w:rPr>
                <w:t>Snapshot Isolation</w:t>
              </w:r>
            </w:hyperlink>
            <w:r>
              <w:rPr>
                <w:i/>
                <w:color w:val="000099"/>
                <w:sz w:val="20"/>
                <w:vertAlign w:val="superscript"/>
              </w:rPr>
              <w:t>a</w:t>
            </w:r>
            <w:r>
              <w:rPr>
                <w:sz w:val="20"/>
              </w:rPr>
              <w:t>, so not only fuzzy reads are prevented, but even phantom reads are prohibited as well. Instead of using locking, the PostgreSQL MVCC implementation allows conflicts to occur, but it aborts any transaction whose guarantees do not hold anymore.</w:t>
            </w:r>
          </w:p>
          <w:p w14:paraId="51CBE6BD"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4AA546CB" wp14:editId="4199BD2D">
                      <wp:extent cx="2140547" cy="5061"/>
                      <wp:effectExtent l="0" t="0" r="0" b="0"/>
                      <wp:docPr id="15205" name="Group 1520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83" name="Shape 68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05" style="width:168.547pt;height:0.3985pt;mso-position-horizontal-relative:char;mso-position-vertical-relative:line" coordsize="21405,50">
                      <v:shape id="Shape 683" style="position:absolute;width:21405;height:0;left:0;top:0;" coordsize="2140547,0" path="m0,0l2140547,0">
                        <v:stroke weight="0.3985pt" endcap="flat" joinstyle="miter" miterlimit="10" on="true" color="#000000"/>
                        <v:fill on="false" color="#000000" opacity="0"/>
                      </v:shape>
                    </v:group>
                  </w:pict>
                </mc:Fallback>
              </mc:AlternateContent>
            </w:r>
          </w:p>
          <w:p w14:paraId="165FB39C" w14:textId="77777777" w:rsidR="001B6146" w:rsidRDefault="00000000">
            <w:pPr>
              <w:spacing w:after="0" w:line="259" w:lineRule="auto"/>
              <w:ind w:left="277" w:right="0" w:firstLine="0"/>
              <w:jc w:val="left"/>
            </w:pPr>
            <w:r>
              <w:rPr>
                <w:i/>
                <w:sz w:val="20"/>
                <w:vertAlign w:val="superscript"/>
              </w:rPr>
              <w:t>a</w:t>
            </w:r>
            <w:hyperlink r:id="rId21">
              <w:r>
                <w:rPr>
                  <w:color w:val="000099"/>
                  <w:sz w:val="15"/>
                </w:rPr>
                <w:t>https://en.wikipedia.org/wiki/Snapshot_isolation</w:t>
              </w:r>
            </w:hyperlink>
          </w:p>
        </w:tc>
      </w:tr>
    </w:tbl>
    <w:p w14:paraId="17E06D70" w14:textId="77777777" w:rsidR="001B6146" w:rsidRDefault="00000000">
      <w:pPr>
        <w:pStyle w:val="Heading1"/>
        <w:ind w:left="561" w:right="183"/>
      </w:pPr>
      <w:r>
        <w:t>MySQL</w:t>
      </w:r>
    </w:p>
    <w:p w14:paraId="17D30D86"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095" w:line="265" w:lineRule="auto"/>
        <w:ind w:left="561" w:right="183"/>
      </w:pPr>
      <w:r>
        <w:rPr>
          <w:sz w:val="20"/>
        </w:rPr>
        <w:t>Every transaction can only see rows as if they were when the current transaction started. This prevents non-repeatable reads, but it still allows lost updates and write skews.</w:t>
      </w:r>
    </w:p>
    <w:p w14:paraId="16BA8B20" w14:textId="77777777" w:rsidR="001B6146" w:rsidRDefault="00000000">
      <w:pPr>
        <w:pStyle w:val="Heading2"/>
        <w:ind w:left="-5"/>
      </w:pPr>
      <w:r>
        <w:t>6.3.3.4 Serializable</w:t>
      </w:r>
    </w:p>
    <w:p w14:paraId="0D77FC02" w14:textId="77777777" w:rsidR="001B6146" w:rsidRDefault="00000000">
      <w:pPr>
        <w:ind w:left="-5" w:right="0"/>
      </w:pPr>
      <w:r>
        <w:t>Serializable is supposed to provide a transaction schedule, whose outcome, even in spite of statement interleaving, is equivalent to a serial execution.</w:t>
      </w:r>
    </w:p>
    <w:p w14:paraId="4F0B80BD" w14:textId="77777777" w:rsidR="001B6146" w:rsidRDefault="00000000">
      <w:pPr>
        <w:ind w:left="-5" w:right="0"/>
      </w:pPr>
      <w:r>
        <w:t>Even if the concurrency control mechanism is lock-based or it manages multiple record versions, it must prevent all phenomena to ensure serializable transactions. Preventing all phenomena mentioned by the SQL standard (dirty reads, non-repeatable reads and phantom reads) is not enough, and Serializable must protect against lost update, read skew and write skew as well.</w:t>
      </w:r>
    </w:p>
    <w:p w14:paraId="0756AC5A" w14:textId="77777777" w:rsidR="001B6146" w:rsidRDefault="00000000">
      <w:pPr>
        <w:ind w:left="-5" w:right="0"/>
      </w:pPr>
      <w:r>
        <w:t>In practice, the concurrency control implementation details leak, and not all relational database systems provide a truly Serializable isolation level (some data integrity anomalies might still occur).</w:t>
      </w:r>
    </w:p>
    <w:tbl>
      <w:tblPr>
        <w:tblStyle w:val="TableGrid"/>
        <w:tblW w:w="9049" w:type="dxa"/>
        <w:tblInd w:w="120" w:type="dxa"/>
        <w:tblCellMar>
          <w:top w:w="0" w:type="dxa"/>
          <w:left w:w="0" w:type="dxa"/>
          <w:bottom w:w="0" w:type="dxa"/>
          <w:right w:w="0" w:type="dxa"/>
        </w:tblCellMar>
        <w:tblLook w:val="04A0" w:firstRow="1" w:lastRow="0" w:firstColumn="1" w:lastColumn="0" w:noHBand="0" w:noVBand="1"/>
      </w:tblPr>
      <w:tblGrid>
        <w:gridCol w:w="2464"/>
        <w:gridCol w:w="4493"/>
        <w:gridCol w:w="1403"/>
        <w:gridCol w:w="689"/>
      </w:tblGrid>
      <w:tr w:rsidR="001B6146" w14:paraId="7D80E16E" w14:textId="77777777">
        <w:trPr>
          <w:trHeight w:val="316"/>
        </w:trPr>
        <w:tc>
          <w:tcPr>
            <w:tcW w:w="2467" w:type="dxa"/>
            <w:tcBorders>
              <w:top w:val="nil"/>
              <w:left w:val="nil"/>
              <w:bottom w:val="nil"/>
              <w:right w:val="nil"/>
            </w:tcBorders>
          </w:tcPr>
          <w:p w14:paraId="231EBC6F" w14:textId="77777777" w:rsidR="001B6146" w:rsidRDefault="001B6146">
            <w:pPr>
              <w:spacing w:after="160" w:line="259" w:lineRule="auto"/>
              <w:ind w:left="0" w:right="0" w:firstLine="0"/>
              <w:jc w:val="left"/>
            </w:pPr>
          </w:p>
        </w:tc>
        <w:tc>
          <w:tcPr>
            <w:tcW w:w="4498" w:type="dxa"/>
            <w:tcBorders>
              <w:top w:val="nil"/>
              <w:left w:val="nil"/>
              <w:bottom w:val="nil"/>
              <w:right w:val="nil"/>
            </w:tcBorders>
          </w:tcPr>
          <w:p w14:paraId="6D2FA997" w14:textId="77777777" w:rsidR="001B6146" w:rsidRDefault="00000000">
            <w:pPr>
              <w:spacing w:after="0" w:line="259" w:lineRule="auto"/>
              <w:ind w:left="160" w:right="0" w:firstLine="0"/>
              <w:jc w:val="left"/>
            </w:pPr>
            <w:r>
              <w:rPr>
                <w:b/>
                <w:sz w:val="18"/>
              </w:rPr>
              <w:t>Table 6.5: Serializable phenomena occurrence</w:t>
            </w:r>
          </w:p>
        </w:tc>
        <w:tc>
          <w:tcPr>
            <w:tcW w:w="1404" w:type="dxa"/>
            <w:tcBorders>
              <w:top w:val="nil"/>
              <w:left w:val="nil"/>
              <w:bottom w:val="nil"/>
              <w:right w:val="nil"/>
            </w:tcBorders>
          </w:tcPr>
          <w:p w14:paraId="5889F9B2" w14:textId="77777777" w:rsidR="001B6146" w:rsidRDefault="001B6146">
            <w:pPr>
              <w:spacing w:after="160" w:line="259" w:lineRule="auto"/>
              <w:ind w:left="0" w:right="0" w:firstLine="0"/>
              <w:jc w:val="left"/>
            </w:pPr>
          </w:p>
        </w:tc>
        <w:tc>
          <w:tcPr>
            <w:tcW w:w="681" w:type="dxa"/>
            <w:tcBorders>
              <w:top w:val="nil"/>
              <w:left w:val="nil"/>
              <w:bottom w:val="nil"/>
              <w:right w:val="nil"/>
            </w:tcBorders>
          </w:tcPr>
          <w:p w14:paraId="403CF49C" w14:textId="77777777" w:rsidR="001B6146" w:rsidRDefault="001B6146">
            <w:pPr>
              <w:spacing w:after="160" w:line="259" w:lineRule="auto"/>
              <w:ind w:left="0" w:right="0" w:firstLine="0"/>
              <w:jc w:val="left"/>
            </w:pPr>
          </w:p>
        </w:tc>
      </w:tr>
      <w:tr w:rsidR="001B6146" w14:paraId="3BFCA9D7" w14:textId="77777777">
        <w:trPr>
          <w:trHeight w:val="352"/>
        </w:trPr>
        <w:tc>
          <w:tcPr>
            <w:tcW w:w="2467" w:type="dxa"/>
            <w:tcBorders>
              <w:top w:val="nil"/>
              <w:left w:val="nil"/>
              <w:bottom w:val="nil"/>
              <w:right w:val="nil"/>
            </w:tcBorders>
          </w:tcPr>
          <w:p w14:paraId="54553438" w14:textId="77777777" w:rsidR="001B6146" w:rsidRDefault="00000000">
            <w:pPr>
              <w:spacing w:after="0" w:line="259" w:lineRule="auto"/>
              <w:ind w:left="0" w:right="0" w:firstLine="0"/>
              <w:jc w:val="left"/>
            </w:pPr>
            <w:r>
              <w:rPr>
                <w:b/>
                <w:sz w:val="20"/>
                <w:u w:val="single" w:color="000000"/>
              </w:rPr>
              <w:t>Phenomena</w:t>
            </w:r>
          </w:p>
        </w:tc>
        <w:tc>
          <w:tcPr>
            <w:tcW w:w="4498" w:type="dxa"/>
            <w:tcBorders>
              <w:top w:val="nil"/>
              <w:left w:val="nil"/>
              <w:bottom w:val="nil"/>
              <w:right w:val="nil"/>
            </w:tcBorders>
          </w:tcPr>
          <w:p w14:paraId="63C11A8A" w14:textId="77777777" w:rsidR="001B6146" w:rsidRDefault="00000000">
            <w:pPr>
              <w:tabs>
                <w:tab w:val="center" w:pos="1479"/>
                <w:tab w:val="center" w:pos="3253"/>
              </w:tabs>
              <w:spacing w:after="0" w:line="259" w:lineRule="auto"/>
              <w:ind w:left="0" w:right="0" w:firstLine="0"/>
              <w:jc w:val="left"/>
            </w:pPr>
            <w:r>
              <w:rPr>
                <w:b/>
                <w:sz w:val="20"/>
                <w:u w:val="single" w:color="000000"/>
              </w:rPr>
              <w:t>Oracle</w:t>
            </w:r>
            <w:r>
              <w:rPr>
                <w:b/>
                <w:sz w:val="20"/>
                <w:u w:val="single" w:color="000000"/>
              </w:rPr>
              <w:tab/>
              <w:t>SQL Server</w:t>
            </w:r>
            <w:r>
              <w:rPr>
                <w:b/>
                <w:sz w:val="20"/>
                <w:u w:val="single" w:color="000000"/>
              </w:rPr>
              <w:tab/>
              <w:t>SQL Server MVCC</w:t>
            </w:r>
          </w:p>
        </w:tc>
        <w:tc>
          <w:tcPr>
            <w:tcW w:w="1404" w:type="dxa"/>
            <w:tcBorders>
              <w:top w:val="nil"/>
              <w:left w:val="nil"/>
              <w:bottom w:val="nil"/>
              <w:right w:val="nil"/>
            </w:tcBorders>
          </w:tcPr>
          <w:p w14:paraId="022403F1" w14:textId="77777777" w:rsidR="001B6146" w:rsidRDefault="00000000">
            <w:pPr>
              <w:spacing w:after="0" w:line="259" w:lineRule="auto"/>
              <w:ind w:left="0" w:right="0" w:firstLine="0"/>
              <w:jc w:val="left"/>
            </w:pPr>
            <w:r>
              <w:rPr>
                <w:b/>
                <w:sz w:val="20"/>
                <w:u w:val="single" w:color="000000"/>
              </w:rPr>
              <w:t>PostgreSQL</w:t>
            </w:r>
          </w:p>
        </w:tc>
        <w:tc>
          <w:tcPr>
            <w:tcW w:w="681" w:type="dxa"/>
            <w:tcBorders>
              <w:top w:val="nil"/>
              <w:left w:val="nil"/>
              <w:bottom w:val="nil"/>
              <w:right w:val="nil"/>
            </w:tcBorders>
          </w:tcPr>
          <w:p w14:paraId="3AB7E5EE" w14:textId="77777777" w:rsidR="001B6146" w:rsidRDefault="00000000">
            <w:pPr>
              <w:spacing w:after="0" w:line="259" w:lineRule="auto"/>
              <w:ind w:left="0" w:right="0" w:firstLine="0"/>
            </w:pPr>
            <w:r>
              <w:rPr>
                <w:b/>
                <w:sz w:val="20"/>
                <w:u w:val="single" w:color="000000"/>
              </w:rPr>
              <w:t>MySQL</w:t>
            </w:r>
          </w:p>
        </w:tc>
      </w:tr>
      <w:tr w:rsidR="001B6146" w14:paraId="708EA2E2" w14:textId="77777777">
        <w:trPr>
          <w:trHeight w:val="252"/>
        </w:trPr>
        <w:tc>
          <w:tcPr>
            <w:tcW w:w="2467" w:type="dxa"/>
            <w:tcBorders>
              <w:top w:val="nil"/>
              <w:left w:val="nil"/>
              <w:bottom w:val="nil"/>
              <w:right w:val="nil"/>
            </w:tcBorders>
          </w:tcPr>
          <w:p w14:paraId="670C676F" w14:textId="77777777" w:rsidR="001B6146" w:rsidRDefault="00000000">
            <w:pPr>
              <w:spacing w:after="0" w:line="259" w:lineRule="auto"/>
              <w:ind w:left="0" w:right="0" w:firstLine="0"/>
              <w:jc w:val="left"/>
            </w:pPr>
            <w:r>
              <w:rPr>
                <w:sz w:val="20"/>
              </w:rPr>
              <w:t>Dirty Write</w:t>
            </w:r>
          </w:p>
        </w:tc>
        <w:tc>
          <w:tcPr>
            <w:tcW w:w="4498" w:type="dxa"/>
            <w:tcBorders>
              <w:top w:val="nil"/>
              <w:left w:val="nil"/>
              <w:bottom w:val="nil"/>
              <w:right w:val="nil"/>
            </w:tcBorders>
          </w:tcPr>
          <w:p w14:paraId="61E8EE5B"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400CFB84"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4D19C45B" w14:textId="77777777" w:rsidR="001B6146" w:rsidRDefault="00000000">
            <w:pPr>
              <w:spacing w:after="0" w:line="259" w:lineRule="auto"/>
              <w:ind w:left="1" w:right="0" w:firstLine="0"/>
              <w:jc w:val="left"/>
            </w:pPr>
            <w:r>
              <w:rPr>
                <w:sz w:val="20"/>
              </w:rPr>
              <w:t>No</w:t>
            </w:r>
          </w:p>
        </w:tc>
      </w:tr>
      <w:tr w:rsidR="001B6146" w14:paraId="1E51D260" w14:textId="77777777">
        <w:trPr>
          <w:trHeight w:val="248"/>
        </w:trPr>
        <w:tc>
          <w:tcPr>
            <w:tcW w:w="2467" w:type="dxa"/>
            <w:tcBorders>
              <w:top w:val="nil"/>
              <w:left w:val="nil"/>
              <w:bottom w:val="nil"/>
              <w:right w:val="nil"/>
            </w:tcBorders>
          </w:tcPr>
          <w:p w14:paraId="2B0BB169" w14:textId="77777777" w:rsidR="001B6146" w:rsidRDefault="00000000">
            <w:pPr>
              <w:spacing w:after="0" w:line="259" w:lineRule="auto"/>
              <w:ind w:left="0" w:right="0" w:firstLine="0"/>
              <w:jc w:val="left"/>
            </w:pPr>
            <w:r>
              <w:rPr>
                <w:sz w:val="20"/>
              </w:rPr>
              <w:t>Dirty Read</w:t>
            </w:r>
          </w:p>
        </w:tc>
        <w:tc>
          <w:tcPr>
            <w:tcW w:w="4498" w:type="dxa"/>
            <w:tcBorders>
              <w:top w:val="nil"/>
              <w:left w:val="nil"/>
              <w:bottom w:val="nil"/>
              <w:right w:val="nil"/>
            </w:tcBorders>
          </w:tcPr>
          <w:p w14:paraId="7AA1E5FA"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3000AA0C"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24885C83" w14:textId="77777777" w:rsidR="001B6146" w:rsidRDefault="00000000">
            <w:pPr>
              <w:spacing w:after="0" w:line="259" w:lineRule="auto"/>
              <w:ind w:left="1" w:right="0" w:firstLine="0"/>
              <w:jc w:val="left"/>
            </w:pPr>
            <w:r>
              <w:rPr>
                <w:sz w:val="20"/>
              </w:rPr>
              <w:t>No</w:t>
            </w:r>
          </w:p>
        </w:tc>
      </w:tr>
      <w:tr w:rsidR="001B6146" w14:paraId="57A88D21" w14:textId="77777777">
        <w:trPr>
          <w:trHeight w:val="248"/>
        </w:trPr>
        <w:tc>
          <w:tcPr>
            <w:tcW w:w="2467" w:type="dxa"/>
            <w:tcBorders>
              <w:top w:val="nil"/>
              <w:left w:val="nil"/>
              <w:bottom w:val="nil"/>
              <w:right w:val="nil"/>
            </w:tcBorders>
          </w:tcPr>
          <w:p w14:paraId="44007CF9" w14:textId="77777777" w:rsidR="001B6146" w:rsidRDefault="00000000">
            <w:pPr>
              <w:spacing w:after="0" w:line="259" w:lineRule="auto"/>
              <w:ind w:left="0" w:right="0" w:firstLine="0"/>
              <w:jc w:val="left"/>
            </w:pPr>
            <w:r>
              <w:rPr>
                <w:sz w:val="20"/>
              </w:rPr>
              <w:lastRenderedPageBreak/>
              <w:t>Non-Repeatable Read</w:t>
            </w:r>
          </w:p>
        </w:tc>
        <w:tc>
          <w:tcPr>
            <w:tcW w:w="4498" w:type="dxa"/>
            <w:tcBorders>
              <w:top w:val="nil"/>
              <w:left w:val="nil"/>
              <w:bottom w:val="nil"/>
              <w:right w:val="nil"/>
            </w:tcBorders>
          </w:tcPr>
          <w:p w14:paraId="61C73CF7"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337AA7C6"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03831AD2" w14:textId="77777777" w:rsidR="001B6146" w:rsidRDefault="00000000">
            <w:pPr>
              <w:spacing w:after="0" w:line="259" w:lineRule="auto"/>
              <w:ind w:left="1" w:right="0" w:firstLine="0"/>
              <w:jc w:val="left"/>
            </w:pPr>
            <w:r>
              <w:rPr>
                <w:sz w:val="20"/>
              </w:rPr>
              <w:t>No</w:t>
            </w:r>
          </w:p>
        </w:tc>
      </w:tr>
      <w:tr w:rsidR="001B6146" w14:paraId="7D22581D" w14:textId="77777777">
        <w:trPr>
          <w:trHeight w:val="248"/>
        </w:trPr>
        <w:tc>
          <w:tcPr>
            <w:tcW w:w="2467" w:type="dxa"/>
            <w:tcBorders>
              <w:top w:val="nil"/>
              <w:left w:val="nil"/>
              <w:bottom w:val="nil"/>
              <w:right w:val="nil"/>
            </w:tcBorders>
          </w:tcPr>
          <w:p w14:paraId="783B1695" w14:textId="77777777" w:rsidR="001B6146" w:rsidRDefault="00000000">
            <w:pPr>
              <w:spacing w:after="0" w:line="259" w:lineRule="auto"/>
              <w:ind w:left="0" w:right="0" w:firstLine="0"/>
              <w:jc w:val="left"/>
            </w:pPr>
            <w:r>
              <w:rPr>
                <w:sz w:val="20"/>
              </w:rPr>
              <w:t>Phantom Read</w:t>
            </w:r>
          </w:p>
        </w:tc>
        <w:tc>
          <w:tcPr>
            <w:tcW w:w="4498" w:type="dxa"/>
            <w:tcBorders>
              <w:top w:val="nil"/>
              <w:left w:val="nil"/>
              <w:bottom w:val="nil"/>
              <w:right w:val="nil"/>
            </w:tcBorders>
          </w:tcPr>
          <w:p w14:paraId="0DDE4C0A"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2417E37E"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437F13AB" w14:textId="77777777" w:rsidR="001B6146" w:rsidRDefault="00000000">
            <w:pPr>
              <w:spacing w:after="0" w:line="259" w:lineRule="auto"/>
              <w:ind w:left="1" w:right="0" w:firstLine="0"/>
              <w:jc w:val="left"/>
            </w:pPr>
            <w:r>
              <w:rPr>
                <w:sz w:val="20"/>
              </w:rPr>
              <w:t>No</w:t>
            </w:r>
          </w:p>
        </w:tc>
      </w:tr>
      <w:tr w:rsidR="001B6146" w14:paraId="737589C9" w14:textId="77777777">
        <w:trPr>
          <w:trHeight w:val="248"/>
        </w:trPr>
        <w:tc>
          <w:tcPr>
            <w:tcW w:w="2467" w:type="dxa"/>
            <w:tcBorders>
              <w:top w:val="nil"/>
              <w:left w:val="nil"/>
              <w:bottom w:val="nil"/>
              <w:right w:val="nil"/>
            </w:tcBorders>
          </w:tcPr>
          <w:p w14:paraId="299B5E4D" w14:textId="77777777" w:rsidR="001B6146" w:rsidRDefault="00000000">
            <w:pPr>
              <w:spacing w:after="0" w:line="259" w:lineRule="auto"/>
              <w:ind w:left="0" w:right="0" w:firstLine="0"/>
              <w:jc w:val="left"/>
            </w:pPr>
            <w:r>
              <w:rPr>
                <w:sz w:val="20"/>
              </w:rPr>
              <w:t>Read Skew</w:t>
            </w:r>
          </w:p>
        </w:tc>
        <w:tc>
          <w:tcPr>
            <w:tcW w:w="4498" w:type="dxa"/>
            <w:tcBorders>
              <w:top w:val="nil"/>
              <w:left w:val="nil"/>
              <w:bottom w:val="nil"/>
              <w:right w:val="nil"/>
            </w:tcBorders>
          </w:tcPr>
          <w:p w14:paraId="487D7CEC"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112E587B"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3A052BFE" w14:textId="77777777" w:rsidR="001B6146" w:rsidRDefault="00000000">
            <w:pPr>
              <w:spacing w:after="0" w:line="259" w:lineRule="auto"/>
              <w:ind w:left="1" w:right="0" w:firstLine="0"/>
              <w:jc w:val="left"/>
            </w:pPr>
            <w:r>
              <w:rPr>
                <w:sz w:val="20"/>
              </w:rPr>
              <w:t>No</w:t>
            </w:r>
          </w:p>
        </w:tc>
      </w:tr>
      <w:tr w:rsidR="001B6146" w14:paraId="1DBE5092" w14:textId="77777777">
        <w:trPr>
          <w:trHeight w:val="248"/>
        </w:trPr>
        <w:tc>
          <w:tcPr>
            <w:tcW w:w="2467" w:type="dxa"/>
            <w:tcBorders>
              <w:top w:val="nil"/>
              <w:left w:val="nil"/>
              <w:bottom w:val="nil"/>
              <w:right w:val="nil"/>
            </w:tcBorders>
          </w:tcPr>
          <w:p w14:paraId="7F33CE0A" w14:textId="77777777" w:rsidR="001B6146" w:rsidRDefault="00000000">
            <w:pPr>
              <w:spacing w:after="0" w:line="259" w:lineRule="auto"/>
              <w:ind w:left="0" w:right="0" w:firstLine="0"/>
              <w:jc w:val="left"/>
            </w:pPr>
            <w:r>
              <w:rPr>
                <w:sz w:val="20"/>
              </w:rPr>
              <w:t>Write Skew</w:t>
            </w:r>
          </w:p>
        </w:tc>
        <w:tc>
          <w:tcPr>
            <w:tcW w:w="4498" w:type="dxa"/>
            <w:tcBorders>
              <w:top w:val="nil"/>
              <w:left w:val="nil"/>
              <w:bottom w:val="nil"/>
              <w:right w:val="nil"/>
            </w:tcBorders>
          </w:tcPr>
          <w:p w14:paraId="017456BD" w14:textId="77777777" w:rsidR="001B6146" w:rsidRDefault="00000000">
            <w:pPr>
              <w:tabs>
                <w:tab w:val="center" w:pos="1479"/>
                <w:tab w:val="center" w:pos="3254"/>
              </w:tabs>
              <w:spacing w:after="0" w:line="259" w:lineRule="auto"/>
              <w:ind w:left="0" w:right="0" w:firstLine="0"/>
              <w:jc w:val="left"/>
            </w:pPr>
            <w:r>
              <w:rPr>
                <w:sz w:val="20"/>
              </w:rPr>
              <w:t>Yes</w:t>
            </w:r>
            <w:r>
              <w:rPr>
                <w:sz w:val="20"/>
              </w:rPr>
              <w:tab/>
              <w:t>No</w:t>
            </w:r>
            <w:r>
              <w:rPr>
                <w:sz w:val="20"/>
              </w:rPr>
              <w:tab/>
              <w:t>Yes</w:t>
            </w:r>
          </w:p>
        </w:tc>
        <w:tc>
          <w:tcPr>
            <w:tcW w:w="1404" w:type="dxa"/>
            <w:tcBorders>
              <w:top w:val="nil"/>
              <w:left w:val="nil"/>
              <w:bottom w:val="nil"/>
              <w:right w:val="nil"/>
            </w:tcBorders>
          </w:tcPr>
          <w:p w14:paraId="673042EF"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4184C675" w14:textId="77777777" w:rsidR="001B6146" w:rsidRDefault="00000000">
            <w:pPr>
              <w:spacing w:after="0" w:line="259" w:lineRule="auto"/>
              <w:ind w:left="1" w:right="0" w:firstLine="0"/>
              <w:jc w:val="left"/>
            </w:pPr>
            <w:r>
              <w:rPr>
                <w:sz w:val="20"/>
              </w:rPr>
              <w:t>No</w:t>
            </w:r>
          </w:p>
        </w:tc>
      </w:tr>
      <w:tr w:rsidR="001B6146" w14:paraId="768FBF57" w14:textId="77777777">
        <w:trPr>
          <w:trHeight w:val="244"/>
        </w:trPr>
        <w:tc>
          <w:tcPr>
            <w:tcW w:w="2467" w:type="dxa"/>
            <w:tcBorders>
              <w:top w:val="nil"/>
              <w:left w:val="nil"/>
              <w:bottom w:val="nil"/>
              <w:right w:val="nil"/>
            </w:tcBorders>
          </w:tcPr>
          <w:p w14:paraId="2925B141" w14:textId="77777777" w:rsidR="001B6146" w:rsidRDefault="00000000">
            <w:pPr>
              <w:spacing w:after="0" w:line="259" w:lineRule="auto"/>
              <w:ind w:left="0" w:right="0" w:firstLine="0"/>
              <w:jc w:val="left"/>
            </w:pPr>
            <w:r>
              <w:rPr>
                <w:sz w:val="20"/>
              </w:rPr>
              <w:t>Lost Update</w:t>
            </w:r>
          </w:p>
        </w:tc>
        <w:tc>
          <w:tcPr>
            <w:tcW w:w="4498" w:type="dxa"/>
            <w:tcBorders>
              <w:top w:val="nil"/>
              <w:left w:val="nil"/>
              <w:bottom w:val="nil"/>
              <w:right w:val="nil"/>
            </w:tcBorders>
          </w:tcPr>
          <w:p w14:paraId="260DD7A4" w14:textId="77777777" w:rsidR="001B6146" w:rsidRDefault="00000000">
            <w:pPr>
              <w:tabs>
                <w:tab w:val="center" w:pos="1479"/>
                <w:tab w:val="center" w:pos="3254"/>
              </w:tabs>
              <w:spacing w:after="0" w:line="259" w:lineRule="auto"/>
              <w:ind w:left="0" w:right="0" w:firstLine="0"/>
              <w:jc w:val="left"/>
            </w:pPr>
            <w:r>
              <w:rPr>
                <w:sz w:val="20"/>
              </w:rPr>
              <w:t>No</w:t>
            </w:r>
            <w:r>
              <w:rPr>
                <w:sz w:val="20"/>
              </w:rPr>
              <w:tab/>
              <w:t>No</w:t>
            </w:r>
            <w:r>
              <w:rPr>
                <w:sz w:val="20"/>
              </w:rPr>
              <w:tab/>
              <w:t>No</w:t>
            </w:r>
          </w:p>
        </w:tc>
        <w:tc>
          <w:tcPr>
            <w:tcW w:w="1404" w:type="dxa"/>
            <w:tcBorders>
              <w:top w:val="nil"/>
              <w:left w:val="nil"/>
              <w:bottom w:val="nil"/>
              <w:right w:val="nil"/>
            </w:tcBorders>
          </w:tcPr>
          <w:p w14:paraId="7C167DED" w14:textId="77777777" w:rsidR="001B6146" w:rsidRDefault="00000000">
            <w:pPr>
              <w:spacing w:after="0" w:line="259" w:lineRule="auto"/>
              <w:ind w:left="422" w:right="0" w:firstLine="0"/>
              <w:jc w:val="left"/>
            </w:pPr>
            <w:r>
              <w:rPr>
                <w:sz w:val="20"/>
              </w:rPr>
              <w:t>No</w:t>
            </w:r>
          </w:p>
        </w:tc>
        <w:tc>
          <w:tcPr>
            <w:tcW w:w="681" w:type="dxa"/>
            <w:tcBorders>
              <w:top w:val="nil"/>
              <w:left w:val="nil"/>
              <w:bottom w:val="nil"/>
              <w:right w:val="nil"/>
            </w:tcBorders>
          </w:tcPr>
          <w:p w14:paraId="05E9D4A7" w14:textId="77777777" w:rsidR="001B6146" w:rsidRDefault="00000000">
            <w:pPr>
              <w:spacing w:after="0" w:line="259" w:lineRule="auto"/>
              <w:ind w:left="1" w:right="0" w:firstLine="0"/>
              <w:jc w:val="left"/>
            </w:pPr>
            <w:r>
              <w:rPr>
                <w:sz w:val="20"/>
              </w:rPr>
              <w:t>No</w:t>
            </w:r>
          </w:p>
        </w:tc>
      </w:tr>
    </w:tbl>
    <w:p w14:paraId="03AC610C" w14:textId="77777777" w:rsidR="001B6146" w:rsidRDefault="00000000">
      <w:pPr>
        <w:pStyle w:val="Heading1"/>
        <w:ind w:left="561" w:right="183"/>
      </w:pPr>
      <w:r>
        <w:t>Oracle</w:t>
      </w:r>
    </w:p>
    <w:p w14:paraId="0713C754"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43" w:line="265" w:lineRule="auto"/>
        <w:ind w:left="561" w:right="183"/>
      </w:pPr>
      <w:r>
        <w:rPr>
          <w:sz w:val="20"/>
        </w:rPr>
        <w:t>The Serializable isolation level is, in fact, an MVCC implementation of the Snapshot Isolation concurrency control mechanism. Like the Repeatable Read isolation in PostgreSQL, Oracle cannot prevent write skews, meaning it cannot provide a truly serializable transaction.</w:t>
      </w:r>
    </w:p>
    <w:p w14:paraId="1CD29D50" w14:textId="77777777" w:rsidR="001B6146" w:rsidRDefault="00000000">
      <w:pPr>
        <w:pStyle w:val="Heading1"/>
        <w:ind w:left="561" w:right="183"/>
      </w:pPr>
      <w:r>
        <w:t>SQL Server</w:t>
      </w:r>
    </w:p>
    <w:p w14:paraId="56E9B797"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619" w:line="265" w:lineRule="auto"/>
        <w:ind w:left="561" w:right="183"/>
      </w:pPr>
      <w:r>
        <w:rPr>
          <w:sz w:val="20"/>
        </w:rPr>
        <w:t>The Serializable isolation level is based on 2PL, and all phenomena are therefore prevented. The MVCC-based Snapshot Isolation is close to Oracle Serializable and PostgreSQL Repeatable Read, and so it allows write skews.</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6BFCC2B4" w14:textId="77777777">
        <w:trPr>
          <w:trHeight w:val="352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34F82A" w14:textId="77777777" w:rsidR="001B6146" w:rsidRDefault="00000000">
            <w:pPr>
              <w:spacing w:after="0" w:line="259" w:lineRule="auto"/>
              <w:ind w:left="0" w:right="0" w:firstLine="0"/>
              <w:jc w:val="left"/>
            </w:pPr>
            <w:r>
              <w:rPr>
                <w:rFonts w:ascii="Open Sans" w:eastAsia="Open Sans" w:hAnsi="Open Sans" w:cs="Open Sans"/>
                <w:b/>
                <w:sz w:val="26"/>
              </w:rPr>
              <w:t>PostgreSQL</w:t>
            </w:r>
          </w:p>
          <w:p w14:paraId="0E215B12" w14:textId="77777777" w:rsidR="001B6146" w:rsidRDefault="00000000">
            <w:pPr>
              <w:spacing w:after="133" w:line="262" w:lineRule="auto"/>
              <w:ind w:left="0" w:right="0" w:firstLine="0"/>
            </w:pPr>
            <w:r>
              <w:rPr>
                <w:sz w:val="20"/>
              </w:rPr>
              <w:t xml:space="preserve">To overcome the Snapshot Isolation limitations, PostgreSQL has developed the Serializable Snapshot Isolation (SSI), which provides true serializable transactions. Because SSI is still an MVCC implementation, PostgreSQL monitors the transaction schedule and detects </w:t>
            </w:r>
            <w:r>
              <w:rPr>
                <w:i/>
                <w:sz w:val="20"/>
              </w:rPr>
              <w:t xml:space="preserve">possible </w:t>
            </w:r>
            <w:r>
              <w:rPr>
                <w:sz w:val="20"/>
              </w:rPr>
              <w:t>serializability anomalies.</w:t>
            </w:r>
          </w:p>
          <w:p w14:paraId="30AF8606" w14:textId="77777777" w:rsidR="001B6146" w:rsidRDefault="00000000">
            <w:pPr>
              <w:spacing w:after="0" w:line="266" w:lineRule="auto"/>
              <w:ind w:left="0" w:right="0" w:firstLine="0"/>
            </w:pPr>
            <w:r>
              <w:rPr>
                <w:sz w:val="20"/>
              </w:rPr>
              <w:t xml:space="preserve">The current implementation may detect </w:t>
            </w:r>
            <w:hyperlink r:id="rId22">
              <w:r>
                <w:rPr>
                  <w:i/>
                  <w:color w:val="000099"/>
                  <w:sz w:val="20"/>
                </w:rPr>
                <w:t>false positives</w:t>
              </w:r>
            </w:hyperlink>
            <w:r>
              <w:rPr>
                <w:i/>
                <w:color w:val="000099"/>
                <w:sz w:val="20"/>
                <w:vertAlign w:val="superscript"/>
              </w:rPr>
              <w:t>a</w:t>
            </w:r>
            <w:r>
              <w:rPr>
                <w:sz w:val="20"/>
              </w:rPr>
              <w:t>, and some transactions might get aborted even if they did not really break transaction serializability. Only the Precisely Serializable Snapshot Isolation (PSSI) model can eliminate all false positives, but the performance penalty being too high, the database implementers stuck to SSI instead.</w:t>
            </w:r>
          </w:p>
          <w:p w14:paraId="58B56EC4" w14:textId="77777777" w:rsidR="001B6146" w:rsidRDefault="00000000">
            <w:pPr>
              <w:spacing w:after="42" w:line="259" w:lineRule="auto"/>
              <w:ind w:left="0" w:right="0" w:firstLine="0"/>
              <w:jc w:val="left"/>
            </w:pPr>
            <w:r>
              <w:rPr>
                <w:rFonts w:ascii="Calibri" w:eastAsia="Calibri" w:hAnsi="Calibri" w:cs="Calibri"/>
                <w:noProof/>
              </w:rPr>
              <mc:AlternateContent>
                <mc:Choice Requires="wpg">
                  <w:drawing>
                    <wp:inline distT="0" distB="0" distL="0" distR="0" wp14:anchorId="41FB429C" wp14:editId="5F373DA7">
                      <wp:extent cx="2140547" cy="5061"/>
                      <wp:effectExtent l="0" t="0" r="0" b="0"/>
                      <wp:docPr id="15767" name="Group 157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92" name="Shape 79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7" style="width:168.547pt;height:0.3985pt;mso-position-horizontal-relative:char;mso-position-vertical-relative:line" coordsize="21405,50">
                      <v:shape id="Shape 792" style="position:absolute;width:21405;height:0;left:0;top:0;" coordsize="2140547,0" path="m0,0l2140547,0">
                        <v:stroke weight="0.3985pt" endcap="flat" joinstyle="miter" miterlimit="10" on="true" color="#000000"/>
                        <v:fill on="false" color="#000000" opacity="0"/>
                      </v:shape>
                    </v:group>
                  </w:pict>
                </mc:Fallback>
              </mc:AlternateContent>
            </w:r>
          </w:p>
          <w:p w14:paraId="43674632" w14:textId="77777777" w:rsidR="001B6146" w:rsidRDefault="00000000">
            <w:pPr>
              <w:spacing w:after="0" w:line="259" w:lineRule="auto"/>
              <w:ind w:left="277" w:right="0" w:firstLine="0"/>
              <w:jc w:val="left"/>
            </w:pPr>
            <w:r>
              <w:rPr>
                <w:i/>
                <w:sz w:val="20"/>
                <w:vertAlign w:val="superscript"/>
              </w:rPr>
              <w:t>a</w:t>
            </w:r>
            <w:hyperlink r:id="rId23">
              <w:r>
                <w:rPr>
                  <w:color w:val="000099"/>
                  <w:sz w:val="15"/>
                </w:rPr>
                <w:t>http://drkp.net/papers/ssi-vldb12.pdf</w:t>
              </w:r>
            </w:hyperlink>
          </w:p>
        </w:tc>
      </w:tr>
    </w:tbl>
    <w:p w14:paraId="5AC66BB9" w14:textId="77777777" w:rsidR="001B6146" w:rsidRDefault="00000000">
      <w:pPr>
        <w:pStyle w:val="Heading1"/>
        <w:ind w:left="561" w:right="183"/>
      </w:pPr>
      <w:r>
        <w:t>MySQL</w:t>
      </w:r>
    </w:p>
    <w:p w14:paraId="091F8DA0"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183"/>
      </w:pPr>
      <w:r>
        <w:rPr>
          <w:sz w:val="20"/>
        </w:rPr>
        <w:t>The Serializable isolation builds on top of Repeatable Read with the difference that every record that gets selected is protected with a shared lock as well. The lock-based approach allows MySQL to prevent the write skew phenomena, which is prevalent among many Snapshot Isolation implementations.</w:t>
      </w:r>
    </w:p>
    <w:p w14:paraId="1A88D871" w14:textId="77777777" w:rsidR="001B6146" w:rsidRDefault="00000000">
      <w:pPr>
        <w:pStyle w:val="Heading1"/>
        <w:pBdr>
          <w:top w:val="none" w:sz="0" w:space="0" w:color="auto"/>
          <w:left w:val="none" w:sz="0" w:space="0" w:color="auto"/>
          <w:bottom w:val="none" w:sz="0" w:space="0" w:color="auto"/>
          <w:right w:val="none" w:sz="0" w:space="0" w:color="auto"/>
        </w:pBdr>
        <w:shd w:val="clear" w:color="auto" w:fill="auto"/>
        <w:spacing w:after="228"/>
        <w:ind w:left="-5"/>
      </w:pPr>
      <w:r>
        <w:rPr>
          <w:sz w:val="32"/>
        </w:rPr>
        <w:t>6.4 Durability</w:t>
      </w:r>
    </w:p>
    <w:p w14:paraId="0EE42C10" w14:textId="77777777" w:rsidR="001B6146" w:rsidRDefault="00000000">
      <w:pPr>
        <w:spacing w:after="467"/>
        <w:ind w:left="-5" w:right="0"/>
      </w:pPr>
      <w:r>
        <w:t>When purchasing an airline ticket, the money is withdrawn from the bank account, and a seat is reserved for the given buyer. Assuming that, right after the ticket is purchased, the airline reservation system crashes, all the previously processed transactions must hold true even after the system restarts. If the system does not enforce this requirement, the registered ticket might vanish, and the buyer is possibly left with a debited account and no ticket at all.</w:t>
      </w:r>
    </w:p>
    <w:p w14:paraId="627B2073"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824" w:line="265" w:lineRule="auto"/>
        <w:ind w:left="561" w:right="366"/>
      </w:pPr>
      <w:r>
        <w:rPr>
          <w:sz w:val="20"/>
        </w:rPr>
        <w:lastRenderedPageBreak/>
        <w:t>Durability ensures that all committed transaction changes become permanent.</w:t>
      </w:r>
    </w:p>
    <w:p w14:paraId="2898D649" w14:textId="77777777" w:rsidR="001B6146" w:rsidRDefault="00000000">
      <w:pPr>
        <w:spacing w:after="462"/>
        <w:ind w:left="-5" w:right="0"/>
      </w:pPr>
      <w:r>
        <w:t>Durability allows system recoverability, and, to some extent, it is similar to the rolling back mechanism.</w:t>
      </w:r>
    </w:p>
    <w:p w14:paraId="0A6187B0"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183"/>
        <w:jc w:val="left"/>
      </w:pPr>
      <w:r>
        <w:rPr>
          <w:rFonts w:ascii="Open Sans" w:eastAsia="Open Sans" w:hAnsi="Open Sans" w:cs="Open Sans"/>
          <w:b/>
          <w:sz w:val="26"/>
        </w:rPr>
        <w:t>What about undo logs?</w:t>
      </w:r>
    </w:p>
    <w:p w14:paraId="5A9F2442"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824" w:line="265" w:lineRule="auto"/>
        <w:ind w:left="561" w:right="183"/>
      </w:pPr>
      <w:r>
        <w:rPr>
          <w:sz w:val="20"/>
        </w:rPr>
        <w:t>To support transaction rollbacks and to rebuild previous versions in MVCC systems, the database system already records the current modifications (including uncommitted changes) in the undo log. However, recoverability needs committed changes only, and, because the obsolete undo segments might be frequently recycled, the undo log alone is not suitable for recoverability.</w:t>
      </w:r>
    </w:p>
    <w:p w14:paraId="263ED018" w14:textId="77777777" w:rsidR="001B6146" w:rsidRDefault="00000000">
      <w:pPr>
        <w:spacing w:after="7"/>
        <w:ind w:left="-5" w:right="0"/>
      </w:pPr>
      <w:r>
        <w:t xml:space="preserve">When a transaction is committed, the database persists all current changes in an appendonly, sequential data structure commonly known as the </w:t>
      </w:r>
      <w:r>
        <w:rPr>
          <w:i/>
        </w:rPr>
        <w:t>redo log</w:t>
      </w:r>
      <w:r>
        <w:t>.</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1B6146" w14:paraId="137A8C85" w14:textId="77777777">
        <w:trPr>
          <w:trHeight w:val="427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2C1F392" w14:textId="77777777" w:rsidR="001B6146" w:rsidRDefault="00000000">
            <w:pPr>
              <w:spacing w:after="0" w:line="259" w:lineRule="auto"/>
              <w:ind w:left="0" w:right="0" w:firstLine="0"/>
              <w:jc w:val="left"/>
            </w:pPr>
            <w:r>
              <w:rPr>
                <w:rFonts w:ascii="Open Sans" w:eastAsia="Open Sans" w:hAnsi="Open Sans" w:cs="Open Sans"/>
                <w:b/>
                <w:sz w:val="26"/>
              </w:rPr>
              <w:t>Oracle</w:t>
            </w:r>
          </w:p>
          <w:p w14:paraId="75AA137C" w14:textId="77777777" w:rsidR="001B6146" w:rsidRDefault="00000000">
            <w:pPr>
              <w:spacing w:after="366" w:line="264" w:lineRule="auto"/>
              <w:ind w:left="0" w:right="246" w:firstLine="0"/>
            </w:pPr>
            <w:r>
              <w:rPr>
                <w:sz w:val="20"/>
              </w:rPr>
              <w:t xml:space="preserve">The </w:t>
            </w:r>
            <w:hyperlink r:id="rId24" w:anchor="ADMIN11302">
              <w:r>
                <w:rPr>
                  <w:i/>
                  <w:color w:val="000099"/>
                  <w:sz w:val="20"/>
                </w:rPr>
                <w:t>redo log</w:t>
              </w:r>
            </w:hyperlink>
            <w:hyperlink r:id="rId25" w:anchor="ADMIN11302">
              <w:r>
                <w:rPr>
                  <w:i/>
                  <w:color w:val="000099"/>
                  <w:sz w:val="20"/>
                  <w:vertAlign w:val="superscript"/>
                </w:rPr>
                <w:t>a</w:t>
              </w:r>
            </w:hyperlink>
            <w:r>
              <w:rPr>
                <w:i/>
                <w:color w:val="000099"/>
                <w:sz w:val="20"/>
                <w:vertAlign w:val="superscript"/>
              </w:rPr>
              <w:t xml:space="preserve"> </w:t>
            </w:r>
            <w:r>
              <w:rPr>
                <w:sz w:val="20"/>
              </w:rPr>
              <w:t xml:space="preserve">consists of multiple redo records, each one containing </w:t>
            </w:r>
            <w:r>
              <w:rPr>
                <w:i/>
                <w:sz w:val="20"/>
              </w:rPr>
              <w:t>change vectors</w:t>
            </w:r>
            <w:r>
              <w:rPr>
                <w:sz w:val="20"/>
              </w:rPr>
              <w:t>, which capture the actual data block changes. For performance reasons, the redo records are stored in a buffer, and the Log Writer flushes the in-memory records to the current active redo log file. At any given time, Oracle has, at least, two redo files, but only one of them is active and available for collecting the log buffer entries. When a transaction is committed, the database flushes the buffer and changes become persisted.</w:t>
            </w:r>
          </w:p>
          <w:p w14:paraId="18BA6805" w14:textId="77777777" w:rsidR="001B6146" w:rsidRDefault="00000000">
            <w:pPr>
              <w:spacing w:after="574" w:line="261" w:lineRule="auto"/>
              <w:ind w:left="926" w:right="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6545077B" wp14:editId="243CF564">
                      <wp:simplePos x="0" y="0"/>
                      <wp:positionH relativeFrom="column">
                        <wp:posOffset>356803</wp:posOffset>
                      </wp:positionH>
                      <wp:positionV relativeFrom="paragraph">
                        <wp:posOffset>-7065</wp:posOffset>
                      </wp:positionV>
                      <wp:extent cx="2140547" cy="673995"/>
                      <wp:effectExtent l="0" t="0" r="0" b="0"/>
                      <wp:wrapNone/>
                      <wp:docPr id="16976" name="Group 16976"/>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856" name="Picture 856"/>
                                <pic:cNvPicPr/>
                              </pic:nvPicPr>
                              <pic:blipFill>
                                <a:blip r:embed="rId17"/>
                                <a:stretch>
                                  <a:fillRect/>
                                </a:stretch>
                              </pic:blipFill>
                              <pic:spPr>
                                <a:xfrm>
                                  <a:off x="75921" y="0"/>
                                  <a:ext cx="360001" cy="360001"/>
                                </a:xfrm>
                                <a:prstGeom prst="rect">
                                  <a:avLst/>
                                </a:prstGeom>
                              </pic:spPr>
                            </pic:pic>
                            <wps:wsp>
                              <wps:cNvPr id="859" name="Shape 859"/>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76" style="width:168.547pt;height:53.0705pt;position:absolute;z-index:-2147483607;mso-position-horizontal-relative:text;mso-position-horizontal:absolute;margin-left:28.0947pt;mso-position-vertical-relative:text;margin-top:-0.556396pt;" coordsize="21405,6739">
                      <v:shape id="Picture 856" style="position:absolute;width:3600;height:3600;left:759;top:0;" filled="f">
                        <v:imagedata r:id="rId26"/>
                      </v:shape>
                      <v:shape id="Shape 859" style="position:absolute;width:21405;height:0;left:0;top:6739;" coordsize="2140547,0" path="m0,0l2140547,0">
                        <v:stroke weight="0.3985pt" endcap="flat" joinstyle="miter" miterlimit="10" on="true" color="#000000"/>
                        <v:fill on="false" color="#000000" opacity="0"/>
                      </v:shape>
                    </v:group>
                  </w:pict>
                </mc:Fallback>
              </mc:AlternateContent>
            </w:r>
            <w:r>
              <w:rPr>
                <w:sz w:val="20"/>
              </w:rPr>
              <w:t>If the buffer fills, Oracle will flush it along with any uncommitted changes, which can be removed if their associated transaction is rolled back.</w:t>
            </w:r>
          </w:p>
          <w:p w14:paraId="423557EA" w14:textId="77777777" w:rsidR="001B6146" w:rsidRDefault="00000000">
            <w:pPr>
              <w:spacing w:after="0" w:line="259" w:lineRule="auto"/>
              <w:ind w:left="277" w:right="0" w:firstLine="0"/>
              <w:jc w:val="left"/>
            </w:pPr>
            <w:r>
              <w:rPr>
                <w:i/>
                <w:sz w:val="20"/>
                <w:vertAlign w:val="superscript"/>
              </w:rPr>
              <w:t>a</w:t>
            </w:r>
            <w:hyperlink r:id="rId27" w:anchor="ADMIN11302">
              <w:r>
                <w:rPr>
                  <w:color w:val="000099"/>
                  <w:sz w:val="15"/>
                </w:rPr>
                <w:t>https://docs.oracle.com/database/121/ADMIN/onlineredo.htm#ADMIN11302</w:t>
              </w:r>
            </w:hyperlink>
          </w:p>
        </w:tc>
      </w:tr>
    </w:tbl>
    <w:p w14:paraId="5F6D7BFE" w14:textId="77777777" w:rsidR="001B6146" w:rsidRDefault="001B6146">
      <w:pPr>
        <w:spacing w:after="0" w:line="259" w:lineRule="auto"/>
        <w:ind w:left="-1440" w:right="18"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1B6146" w14:paraId="083E3D5E" w14:textId="77777777">
        <w:trPr>
          <w:trHeight w:val="327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63AA987" w14:textId="77777777" w:rsidR="001B6146" w:rsidRDefault="00000000">
            <w:pPr>
              <w:spacing w:after="0" w:line="259" w:lineRule="auto"/>
              <w:ind w:left="0" w:right="0" w:firstLine="0"/>
              <w:jc w:val="left"/>
            </w:pPr>
            <w:r>
              <w:rPr>
                <w:rFonts w:ascii="Open Sans" w:eastAsia="Open Sans" w:hAnsi="Open Sans" w:cs="Open Sans"/>
                <w:b/>
                <w:sz w:val="26"/>
              </w:rPr>
              <w:lastRenderedPageBreak/>
              <w:t>SQL Server</w:t>
            </w:r>
          </w:p>
          <w:p w14:paraId="138642E3" w14:textId="77777777" w:rsidR="001B6146" w:rsidRDefault="00000000">
            <w:pPr>
              <w:spacing w:after="133" w:line="262" w:lineRule="auto"/>
              <w:ind w:left="0" w:right="0" w:firstLine="0"/>
            </w:pPr>
            <w:r>
              <w:rPr>
                <w:sz w:val="20"/>
              </w:rPr>
              <w:t xml:space="preserve">Unlike Oracle, SQL Server combines both the undo and the redo log into a single data structure called </w:t>
            </w:r>
            <w:r>
              <w:rPr>
                <w:i/>
                <w:sz w:val="20"/>
              </w:rPr>
              <w:t>transaction log</w:t>
            </w:r>
            <w:r>
              <w:rPr>
                <w:sz w:val="20"/>
              </w:rPr>
              <w:t>. By default, when a transaction is committed, all the associated transaction log entries are flushed to the disk before returning the control back to the client.</w:t>
            </w:r>
          </w:p>
          <w:p w14:paraId="20C0C3B3" w14:textId="77777777" w:rsidR="001B6146" w:rsidRDefault="00000000">
            <w:pPr>
              <w:spacing w:after="0" w:line="266" w:lineRule="auto"/>
              <w:ind w:left="0" w:right="0" w:firstLine="0"/>
            </w:pPr>
            <w:r>
              <w:rPr>
                <w:sz w:val="20"/>
              </w:rPr>
              <w:t xml:space="preserve">SQL Server 2014 added support for </w:t>
            </w:r>
            <w:hyperlink r:id="rId28">
              <w:r>
                <w:rPr>
                  <w:color w:val="000099"/>
                  <w:sz w:val="20"/>
                </w:rPr>
                <w:t>configurable durability</w:t>
              </w:r>
            </w:hyperlink>
            <w:r>
              <w:rPr>
                <w:i/>
                <w:color w:val="000099"/>
                <w:sz w:val="20"/>
                <w:vertAlign w:val="superscript"/>
              </w:rPr>
              <w:t>a</w:t>
            </w:r>
            <w:r>
              <w:rPr>
                <w:sz w:val="20"/>
              </w:rPr>
              <w:t>. The log entry flushing can be delayed, which can provide better I/O utilization and lower transaction response times. If the system crashes, all the unflushed log entries will be wiped out from memory. Asynchronous flushing is, therefore, appropriate only when data loss is tolerated.</w:t>
            </w:r>
          </w:p>
          <w:p w14:paraId="1E207D93"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19ED2E5" wp14:editId="550D85AA">
                      <wp:extent cx="2140547" cy="5061"/>
                      <wp:effectExtent l="0" t="0" r="0" b="0"/>
                      <wp:docPr id="16519" name="Group 1651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889" name="Shape 88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519" style="width:168.547pt;height:0.3985pt;mso-position-horizontal-relative:char;mso-position-vertical-relative:line" coordsize="21405,50">
                      <v:shape id="Shape 889" style="position:absolute;width:21405;height:0;left:0;top:0;" coordsize="2140547,0" path="m0,0l2140547,0">
                        <v:stroke weight="0.3985pt" endcap="flat" joinstyle="miter" miterlimit="10" on="true" color="#000000"/>
                        <v:fill on="false" color="#000000" opacity="0"/>
                      </v:shape>
                    </v:group>
                  </w:pict>
                </mc:Fallback>
              </mc:AlternateContent>
            </w:r>
          </w:p>
          <w:p w14:paraId="5F7E382F" w14:textId="77777777" w:rsidR="001B6146" w:rsidRDefault="00000000">
            <w:pPr>
              <w:spacing w:after="0" w:line="259" w:lineRule="auto"/>
              <w:ind w:left="277" w:right="0" w:firstLine="0"/>
              <w:jc w:val="left"/>
            </w:pPr>
            <w:r>
              <w:rPr>
                <w:i/>
                <w:sz w:val="20"/>
                <w:vertAlign w:val="superscript"/>
              </w:rPr>
              <w:t>a</w:t>
            </w:r>
            <w:hyperlink r:id="rId29">
              <w:r>
                <w:rPr>
                  <w:color w:val="000099"/>
                  <w:sz w:val="15"/>
                </w:rPr>
                <w:t>https://msdn.microsoft.com/en-us/library/dn449490.aspx</w:t>
              </w:r>
            </w:hyperlink>
          </w:p>
        </w:tc>
      </w:tr>
      <w:tr w:rsidR="001B6146" w14:paraId="6D357023" w14:textId="77777777">
        <w:trPr>
          <w:trHeight w:val="323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6C4EDE7" w14:textId="77777777" w:rsidR="001B6146" w:rsidRDefault="00000000">
            <w:pPr>
              <w:spacing w:after="0" w:line="259" w:lineRule="auto"/>
              <w:ind w:left="0" w:right="0" w:firstLine="0"/>
              <w:jc w:val="left"/>
            </w:pPr>
            <w:r>
              <w:rPr>
                <w:rFonts w:ascii="Open Sans" w:eastAsia="Open Sans" w:hAnsi="Open Sans" w:cs="Open Sans"/>
                <w:b/>
                <w:sz w:val="26"/>
              </w:rPr>
              <w:t>PostgreSQL</w:t>
            </w:r>
          </w:p>
          <w:p w14:paraId="5BE79DF1" w14:textId="77777777" w:rsidR="001B6146" w:rsidRDefault="00000000">
            <w:pPr>
              <w:spacing w:after="118" w:line="275" w:lineRule="auto"/>
              <w:ind w:left="0" w:right="0" w:firstLine="0"/>
              <w:jc w:val="left"/>
            </w:pPr>
            <w:r>
              <w:rPr>
                <w:sz w:val="20"/>
              </w:rPr>
              <w:t xml:space="preserve">Statement changes are captured in the </w:t>
            </w:r>
            <w:hyperlink r:id="rId30">
              <w:r>
                <w:rPr>
                  <w:i/>
                  <w:color w:val="000099"/>
                  <w:sz w:val="20"/>
                </w:rPr>
                <w:t>Write-Ahead Log (WAL)</w:t>
              </w:r>
            </w:hyperlink>
            <w:r>
              <w:rPr>
                <w:i/>
                <w:color w:val="000099"/>
                <w:sz w:val="20"/>
                <w:vertAlign w:val="superscript"/>
              </w:rPr>
              <w:t>a</w:t>
            </w:r>
            <w:r>
              <w:rPr>
                <w:sz w:val="20"/>
              </w:rPr>
              <w:t>. The log entries are buffered in memory and flushed on every transaction commit.</w:t>
            </w:r>
          </w:p>
          <w:p w14:paraId="5FA31D63" w14:textId="77777777" w:rsidR="001B6146" w:rsidRDefault="00000000">
            <w:pPr>
              <w:spacing w:after="0" w:line="267" w:lineRule="auto"/>
              <w:ind w:left="0" w:right="0" w:firstLine="0"/>
            </w:pPr>
            <w:r>
              <w:rPr>
                <w:sz w:val="20"/>
              </w:rPr>
              <w:t xml:space="preserve">Because their state can be restored from the WAL during recovery, the cached data pages and index entries need not be flushed for every transaction (therefore optimizing I/O utilization). Ever since </w:t>
            </w:r>
            <w:hyperlink r:id="rId31">
              <w:r>
                <w:rPr>
                  <w:color w:val="000099"/>
                  <w:sz w:val="20"/>
                </w:rPr>
                <w:t>9.1</w:t>
              </w:r>
            </w:hyperlink>
            <w:r>
              <w:rPr>
                <w:i/>
                <w:color w:val="000099"/>
                <w:sz w:val="20"/>
                <w:vertAlign w:val="superscript"/>
              </w:rPr>
              <w:t>b</w:t>
            </w:r>
            <w:r>
              <w:rPr>
                <w:sz w:val="20"/>
              </w:rPr>
              <w:t>, PostgreSQL supports configurable durability, so the WAL can also be flushed asynchronously.</w:t>
            </w:r>
          </w:p>
          <w:p w14:paraId="0FAB3BF4"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02CDA8DF" wp14:editId="26D42BE2">
                      <wp:extent cx="2140547" cy="5061"/>
                      <wp:effectExtent l="0" t="0" r="0" b="0"/>
                      <wp:docPr id="16895" name="Group 1689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08" name="Shape 90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95" style="width:168.547pt;height:0.3985pt;mso-position-horizontal-relative:char;mso-position-vertical-relative:line" coordsize="21405,50">
                      <v:shape id="Shape 908" style="position:absolute;width:21405;height:0;left:0;top:0;" coordsize="2140547,0" path="m0,0l2140547,0">
                        <v:stroke weight="0.3985pt" endcap="flat" joinstyle="miter" miterlimit="10" on="true" color="#000000"/>
                        <v:fill on="false" color="#000000" opacity="0"/>
                      </v:shape>
                    </v:group>
                  </w:pict>
                </mc:Fallback>
              </mc:AlternateContent>
            </w:r>
          </w:p>
          <w:p w14:paraId="3727C314" w14:textId="77777777" w:rsidR="001B6146" w:rsidRDefault="00000000">
            <w:pPr>
              <w:spacing w:after="0" w:line="259" w:lineRule="auto"/>
              <w:ind w:left="277" w:right="0" w:firstLine="0"/>
              <w:jc w:val="left"/>
            </w:pPr>
            <w:r>
              <w:rPr>
                <w:i/>
                <w:sz w:val="20"/>
                <w:vertAlign w:val="superscript"/>
              </w:rPr>
              <w:t>a</w:t>
            </w:r>
            <w:hyperlink r:id="rId32">
              <w:r>
                <w:rPr>
                  <w:color w:val="000099"/>
                  <w:sz w:val="15"/>
                </w:rPr>
                <w:t>http://www.postgresql.org/docs/current/static/wal-intro.html</w:t>
              </w:r>
            </w:hyperlink>
          </w:p>
          <w:p w14:paraId="0B739C07" w14:textId="77777777" w:rsidR="001B6146" w:rsidRDefault="00000000">
            <w:pPr>
              <w:spacing w:after="0" w:line="259" w:lineRule="auto"/>
              <w:ind w:left="281" w:right="0" w:firstLine="0"/>
              <w:jc w:val="left"/>
            </w:pPr>
            <w:r>
              <w:rPr>
                <w:i/>
                <w:sz w:val="20"/>
                <w:vertAlign w:val="superscript"/>
              </w:rPr>
              <w:t>b</w:t>
            </w:r>
            <w:hyperlink r:id="rId33">
              <w:r>
                <w:rPr>
                  <w:color w:val="000099"/>
                  <w:sz w:val="15"/>
                </w:rPr>
                <w:t>http://www.postgresql.org/docs/current/static/non-durability.html</w:t>
              </w:r>
            </w:hyperlink>
          </w:p>
        </w:tc>
      </w:tr>
      <w:tr w:rsidR="001B6146" w14:paraId="507DC499" w14:textId="77777777">
        <w:trPr>
          <w:trHeight w:val="296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61BE660" w14:textId="77777777" w:rsidR="001B6146" w:rsidRDefault="00000000">
            <w:pPr>
              <w:spacing w:after="0" w:line="259" w:lineRule="auto"/>
              <w:ind w:left="0" w:right="0" w:firstLine="0"/>
              <w:jc w:val="left"/>
            </w:pPr>
            <w:r>
              <w:rPr>
                <w:rFonts w:ascii="Open Sans" w:eastAsia="Open Sans" w:hAnsi="Open Sans" w:cs="Open Sans"/>
                <w:b/>
                <w:sz w:val="26"/>
              </w:rPr>
              <w:t>MySQL</w:t>
            </w:r>
          </w:p>
          <w:p w14:paraId="6761CDDC" w14:textId="77777777" w:rsidR="001B6146" w:rsidRDefault="00000000">
            <w:pPr>
              <w:spacing w:after="130" w:line="263" w:lineRule="auto"/>
              <w:ind w:left="0" w:right="0" w:firstLine="0"/>
            </w:pPr>
            <w:r>
              <w:rPr>
                <w:sz w:val="20"/>
              </w:rPr>
              <w:t xml:space="preserve">All the </w:t>
            </w:r>
            <w:r>
              <w:rPr>
                <w:i/>
                <w:sz w:val="20"/>
              </w:rPr>
              <w:t xml:space="preserve">redo log </w:t>
            </w:r>
            <w:r>
              <w:rPr>
                <w:sz w:val="20"/>
              </w:rPr>
              <w:t xml:space="preserve">entries associated with a single transaction are stored in the </w:t>
            </w:r>
            <w:r>
              <w:rPr>
                <w:i/>
                <w:sz w:val="20"/>
              </w:rPr>
              <w:t xml:space="preserve">mini transaction buffer </w:t>
            </w:r>
            <w:r>
              <w:rPr>
                <w:sz w:val="20"/>
              </w:rPr>
              <w:t xml:space="preserve">and flushed at once into the </w:t>
            </w:r>
            <w:r>
              <w:rPr>
                <w:i/>
                <w:sz w:val="20"/>
              </w:rPr>
              <w:t>globalredobuffer</w:t>
            </w:r>
            <w:r>
              <w:rPr>
                <w:sz w:val="20"/>
              </w:rPr>
              <w:t>. The global buffer is flushed to disk during commit. By default, there are two log files which are used alternatively.</w:t>
            </w:r>
          </w:p>
          <w:p w14:paraId="2E235AB9" w14:textId="77777777" w:rsidR="001B6146" w:rsidRDefault="00000000">
            <w:pPr>
              <w:spacing w:after="0" w:line="255" w:lineRule="auto"/>
              <w:ind w:left="0" w:right="0" w:firstLine="0"/>
            </w:pPr>
            <w:r>
              <w:rPr>
                <w:sz w:val="20"/>
              </w:rPr>
              <w:t xml:space="preserve">Flushing is done synchronously by default, but it can be switched to an asynchronous mode via the </w:t>
            </w:r>
            <w:hyperlink r:id="rId34" w:anchor="sysvar_innodb_flush_log_at_trx_commit">
              <w:r>
                <w:rPr>
                  <w:color w:val="000099"/>
                  <w:sz w:val="20"/>
                </w:rPr>
                <w:t>innodb_flush_log_at_trx_commit</w:t>
              </w:r>
            </w:hyperlink>
            <w:hyperlink r:id="rId35" w:anchor="sysvar_innodb_flush_log_at_trx_commit">
              <w:r>
                <w:rPr>
                  <w:i/>
                  <w:color w:val="000099"/>
                  <w:sz w:val="20"/>
                  <w:vertAlign w:val="superscript"/>
                </w:rPr>
                <w:t>a</w:t>
              </w:r>
            </w:hyperlink>
            <w:r>
              <w:rPr>
                <w:i/>
                <w:color w:val="000099"/>
                <w:sz w:val="20"/>
                <w:vertAlign w:val="superscript"/>
              </w:rPr>
              <w:t xml:space="preserve"> </w:t>
            </w:r>
            <w:r>
              <w:rPr>
                <w:sz w:val="20"/>
              </w:rPr>
              <w:t>parameter.</w:t>
            </w:r>
          </w:p>
          <w:p w14:paraId="1D5C30F8"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4A451C6" wp14:editId="1EE1ED27">
                      <wp:extent cx="2140547" cy="5061"/>
                      <wp:effectExtent l="0" t="0" r="0" b="0"/>
                      <wp:docPr id="17181" name="Group 171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31" name="Shape 93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81" style="width:168.547pt;height:0.3985pt;mso-position-horizontal-relative:char;mso-position-vertical-relative:line" coordsize="21405,50">
                      <v:shape id="Shape 931" style="position:absolute;width:21405;height:0;left:0;top:0;" coordsize="2140547,0" path="m0,0l2140547,0">
                        <v:stroke weight="0.3985pt" endcap="flat" joinstyle="miter" miterlimit="10" on="true" color="#000000"/>
                        <v:fill on="false" color="#000000" opacity="0"/>
                      </v:shape>
                    </v:group>
                  </w:pict>
                </mc:Fallback>
              </mc:AlternateContent>
            </w:r>
          </w:p>
          <w:p w14:paraId="74CF51B0" w14:textId="77777777" w:rsidR="001B6146" w:rsidRDefault="00000000">
            <w:pPr>
              <w:spacing w:after="0" w:line="259" w:lineRule="auto"/>
              <w:ind w:left="0" w:right="0" w:firstLine="277"/>
            </w:pPr>
            <w:r>
              <w:rPr>
                <w:i/>
                <w:sz w:val="20"/>
                <w:vertAlign w:val="superscript"/>
              </w:rPr>
              <w:t>a</w:t>
            </w:r>
            <w:hyperlink r:id="rId36" w:anchor="sysvar_innodb_flush_log_at_trx_commit">
              <w:r>
                <w:rPr>
                  <w:color w:val="000099"/>
                  <w:sz w:val="15"/>
                </w:rPr>
                <w:t xml:space="preserve">http://dev.mysql.com/doc/refman/5.7/en/innodb-parameters.html#sysvar_innodb_flush_log_at_trx_ </w:t>
              </w:r>
            </w:hyperlink>
            <w:hyperlink r:id="rId37" w:anchor="sysvar_innodb_flush_log_at_trx_commit">
              <w:r>
                <w:rPr>
                  <w:color w:val="000099"/>
                  <w:sz w:val="15"/>
                </w:rPr>
                <w:t>commit</w:t>
              </w:r>
            </w:hyperlink>
          </w:p>
        </w:tc>
      </w:tr>
      <w:tr w:rsidR="001B6146" w14:paraId="6BDD1014"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3EBFE92" w14:textId="77777777" w:rsidR="001B6146" w:rsidRDefault="00000000">
            <w:pPr>
              <w:spacing w:after="132" w:line="261" w:lineRule="auto"/>
              <w:ind w:left="806" w:right="0" w:firstLine="0"/>
            </w:pPr>
            <w:r>
              <w:rPr>
                <w:noProof/>
              </w:rPr>
              <w:drawing>
                <wp:anchor distT="0" distB="0" distL="114300" distR="114300" simplePos="0" relativeHeight="251666432" behindDoc="0" locked="0" layoutInCell="1" allowOverlap="0" wp14:anchorId="5C53AAF0" wp14:editId="10D194C1">
                  <wp:simplePos x="0" y="0"/>
                  <wp:positionH relativeFrom="column">
                    <wp:posOffset>432724</wp:posOffset>
                  </wp:positionH>
                  <wp:positionV relativeFrom="paragraph">
                    <wp:posOffset>-7053</wp:posOffset>
                  </wp:positionV>
                  <wp:extent cx="360001" cy="360001"/>
                  <wp:effectExtent l="0" t="0" r="0" b="0"/>
                  <wp:wrapSquare wrapText="bothSides"/>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17"/>
                          <a:stretch>
                            <a:fillRect/>
                          </a:stretch>
                        </pic:blipFill>
                        <pic:spPr>
                          <a:xfrm>
                            <a:off x="0" y="0"/>
                            <a:ext cx="360001" cy="360001"/>
                          </a:xfrm>
                          <a:prstGeom prst="rect">
                            <a:avLst/>
                          </a:prstGeom>
                        </pic:spPr>
                      </pic:pic>
                    </a:graphicData>
                  </a:graphic>
                </wp:anchor>
              </w:drawing>
            </w:r>
            <w:r>
              <w:rPr>
                <w:sz w:val="20"/>
              </w:rPr>
              <w:t>Since durability is very important for business operations, it is better to stick to the synchronous flushing mechanism.</w:t>
            </w:r>
          </w:p>
          <w:p w14:paraId="0F91EA7A" w14:textId="77777777" w:rsidR="001B6146" w:rsidRDefault="00000000">
            <w:pPr>
              <w:spacing w:after="0" w:line="259" w:lineRule="auto"/>
              <w:ind w:left="806" w:right="0" w:firstLine="0"/>
            </w:pPr>
            <w:r>
              <w:rPr>
                <w:sz w:val="20"/>
              </w:rPr>
              <w:t>Delaying durability guarantees becomes a valid option only when data loss is tolerated by business requirements and the redo log flushing is a real performance bottleneck.</w:t>
            </w:r>
          </w:p>
        </w:tc>
      </w:tr>
    </w:tbl>
    <w:p w14:paraId="1ABEAD3A" w14:textId="77777777" w:rsidR="001B6146" w:rsidRDefault="00000000">
      <w:pPr>
        <w:pStyle w:val="Heading1"/>
        <w:pBdr>
          <w:top w:val="none" w:sz="0" w:space="0" w:color="auto"/>
          <w:left w:val="none" w:sz="0" w:space="0" w:color="auto"/>
          <w:bottom w:val="none" w:sz="0" w:space="0" w:color="auto"/>
          <w:right w:val="none" w:sz="0" w:space="0" w:color="auto"/>
        </w:pBdr>
        <w:shd w:val="clear" w:color="auto" w:fill="auto"/>
        <w:spacing w:after="261"/>
        <w:ind w:left="-5"/>
      </w:pPr>
      <w:r>
        <w:rPr>
          <w:sz w:val="32"/>
        </w:rPr>
        <w:lastRenderedPageBreak/>
        <w:t>6.5 Read-only transactions</w:t>
      </w:r>
    </w:p>
    <w:p w14:paraId="20085B85" w14:textId="77777777" w:rsidR="001B6146" w:rsidRDefault="00000000">
      <w:pPr>
        <w:spacing w:after="7"/>
        <w:ind w:left="-5" w:right="0"/>
      </w:pPr>
      <w:r>
        <w:t xml:space="preserve">The JDBC </w:t>
      </w:r>
      <w:r>
        <w:rPr>
          <w:rFonts w:ascii="Courier New" w:eastAsia="Courier New" w:hAnsi="Courier New" w:cs="Courier New"/>
          <w:sz w:val="18"/>
        </w:rPr>
        <w:t xml:space="preserve">Connection </w:t>
      </w:r>
      <w:r>
        <w:t xml:space="preserve">defines the </w:t>
      </w:r>
      <w:hyperlink r:id="rId38" w:anchor="setReadOnly(boolean)">
        <w:r>
          <w:rPr>
            <w:rFonts w:ascii="Courier New" w:eastAsia="Courier New" w:hAnsi="Courier New" w:cs="Courier New"/>
            <w:color w:val="000099"/>
            <w:sz w:val="18"/>
          </w:rPr>
          <w:t>setReadOnly(boolean readOnly)</w:t>
        </w:r>
      </w:hyperlink>
      <w:r>
        <w:rPr>
          <w:color w:val="000099"/>
          <w:vertAlign w:val="superscript"/>
        </w:rPr>
        <w:footnoteReference w:id="3"/>
      </w:r>
      <w:r>
        <w:rPr>
          <w:color w:val="000099"/>
          <w:vertAlign w:val="superscript"/>
        </w:rPr>
        <w:t xml:space="preserve"> </w:t>
      </w:r>
      <w:r>
        <w:t xml:space="preserve">method which can be used to </w:t>
      </w:r>
      <w:r>
        <w:rPr>
          <w:i/>
        </w:rPr>
        <w:t xml:space="preserve">hint </w:t>
      </w:r>
      <w:r>
        <w:t>the driver to apply some database optimizations for the upcoming read-only transactions. This method should not be called in the middle of a transaction because the database system cannot turn a read-write transaction into a read-only one (a transaction must start as read-only from the very beginning).</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34EF8C91" w14:textId="77777777">
        <w:trPr>
          <w:trHeight w:val="469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BABC1CC" w14:textId="77777777" w:rsidR="001B6146" w:rsidRDefault="00000000">
            <w:pPr>
              <w:spacing w:after="0" w:line="259" w:lineRule="auto"/>
              <w:ind w:left="0" w:right="0" w:firstLine="0"/>
              <w:jc w:val="left"/>
            </w:pPr>
            <w:r>
              <w:rPr>
                <w:rFonts w:ascii="Open Sans" w:eastAsia="Open Sans" w:hAnsi="Open Sans" w:cs="Open Sans"/>
                <w:b/>
                <w:sz w:val="26"/>
              </w:rPr>
              <w:t>Oracle</w:t>
            </w:r>
          </w:p>
          <w:p w14:paraId="0736B011" w14:textId="77777777" w:rsidR="001B6146" w:rsidRDefault="00000000">
            <w:pPr>
              <w:spacing w:after="263" w:line="270" w:lineRule="auto"/>
              <w:ind w:left="0" w:right="0" w:firstLine="0"/>
            </w:pPr>
            <w:r>
              <w:rPr>
                <w:sz w:val="20"/>
              </w:rPr>
              <w:t xml:space="preserve">According to the </w:t>
            </w:r>
            <w:hyperlink r:id="rId39" w:anchor="JJDBC28956">
              <w:r>
                <w:rPr>
                  <w:color w:val="000099"/>
                  <w:sz w:val="20"/>
                </w:rPr>
                <w:t>JDBC driver documentation</w:t>
              </w:r>
            </w:hyperlink>
            <w:r>
              <w:rPr>
                <w:i/>
                <w:color w:val="000099"/>
                <w:sz w:val="20"/>
                <w:vertAlign w:val="superscript"/>
              </w:rPr>
              <w:t>a</w:t>
            </w:r>
            <w:r>
              <w:rPr>
                <w:sz w:val="20"/>
              </w:rPr>
              <w:t xml:space="preserve">, the database server does not support readonly transaction optimizations. Even when the read-only </w:t>
            </w:r>
            <w:r>
              <w:rPr>
                <w:rFonts w:ascii="Courier New" w:eastAsia="Courier New" w:hAnsi="Courier New" w:cs="Courier New"/>
                <w:sz w:val="16"/>
              </w:rPr>
              <w:t xml:space="preserve">Connection </w:t>
            </w:r>
            <w:r>
              <w:rPr>
                <w:sz w:val="20"/>
              </w:rPr>
              <w:t xml:space="preserve">status is set to </w:t>
            </w:r>
            <w:r>
              <w:rPr>
                <w:rFonts w:ascii="Courier New" w:eastAsia="Courier New" w:hAnsi="Courier New" w:cs="Courier New"/>
                <w:sz w:val="16"/>
              </w:rPr>
              <w:t>true</w:t>
            </w:r>
            <w:r>
              <w:rPr>
                <w:sz w:val="20"/>
              </w:rPr>
              <w:t>, modifying statements are still permitted, and the only way to restrict such statements is to execute the following SQL command:</w:t>
            </w:r>
          </w:p>
          <w:p w14:paraId="580D2084" w14:textId="77777777" w:rsidR="001B6146" w:rsidRDefault="00000000">
            <w:pPr>
              <w:spacing w:after="16" w:line="294" w:lineRule="auto"/>
              <w:ind w:left="98" w:right="2749" w:firstLine="0"/>
              <w:jc w:val="left"/>
            </w:pPr>
            <w:r>
              <w:rPr>
                <w:rFonts w:ascii="Courier New" w:eastAsia="Courier New" w:hAnsi="Courier New" w:cs="Courier New"/>
                <w:b/>
                <w:color w:val="007F00"/>
                <w:sz w:val="18"/>
              </w:rPr>
              <w:t>connection</w:t>
            </w:r>
            <w:r>
              <w:rPr>
                <w:rFonts w:ascii="Courier New" w:eastAsia="Courier New" w:hAnsi="Courier New" w:cs="Courier New"/>
                <w:sz w:val="18"/>
              </w:rPr>
              <w:t>.setAutoCommit(</w:t>
            </w:r>
            <w:r>
              <w:rPr>
                <w:rFonts w:ascii="Courier New" w:eastAsia="Courier New" w:hAnsi="Courier New" w:cs="Courier New"/>
                <w:b/>
                <w:color w:val="007F00"/>
                <w:sz w:val="18"/>
              </w:rPr>
              <w:t>false</w:t>
            </w:r>
            <w:r>
              <w:rPr>
                <w:rFonts w:ascii="Courier New" w:eastAsia="Courier New" w:hAnsi="Courier New" w:cs="Courier New"/>
                <w:sz w:val="18"/>
              </w:rPr>
              <w:t xml:space="preserve">); try(CallableStatement </w:t>
            </w:r>
            <w:r>
              <w:rPr>
                <w:rFonts w:ascii="Courier New" w:eastAsia="Courier New" w:hAnsi="Courier New" w:cs="Courier New"/>
                <w:b/>
                <w:color w:val="007F00"/>
                <w:sz w:val="18"/>
              </w:rPr>
              <w:t xml:space="preserve">statement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connection</w:t>
            </w:r>
            <w:r>
              <w:rPr>
                <w:rFonts w:ascii="Courier New" w:eastAsia="Courier New" w:hAnsi="Courier New" w:cs="Courier New"/>
                <w:sz w:val="18"/>
              </w:rPr>
              <w:t>.prepareCall(</w:t>
            </w:r>
          </w:p>
          <w:p w14:paraId="0AA54578" w14:textId="77777777" w:rsidR="001B6146" w:rsidRDefault="00000000">
            <w:pPr>
              <w:spacing w:after="0" w:line="313" w:lineRule="auto"/>
              <w:ind w:left="490" w:right="1868" w:hanging="98"/>
              <w:jc w:val="left"/>
            </w:pPr>
            <w:r>
              <w:rPr>
                <w:rFonts w:ascii="Courier New" w:eastAsia="Courier New" w:hAnsi="Courier New" w:cs="Courier New"/>
                <w:color w:val="19177D"/>
                <w:sz w:val="18"/>
              </w:rPr>
              <w:t>"BEGIN SET TRANSACTION READ ONLY; END;"</w:t>
            </w:r>
            <w:r>
              <w:rPr>
                <w:rFonts w:ascii="Courier New" w:eastAsia="Courier New" w:hAnsi="Courier New" w:cs="Courier New"/>
                <w:sz w:val="18"/>
              </w:rPr>
              <w:t xml:space="preserve">)) </w:t>
            </w:r>
            <w:r>
              <w:rPr>
                <w:rFonts w:ascii="Courier New" w:eastAsia="Courier New" w:hAnsi="Courier New" w:cs="Courier New"/>
                <w:color w:val="FF0000"/>
                <w:sz w:val="18"/>
              </w:rPr>
              <w:t xml:space="preserve">{ </w:t>
            </w:r>
            <w:r>
              <w:rPr>
                <w:rFonts w:ascii="Courier New" w:eastAsia="Courier New" w:hAnsi="Courier New" w:cs="Courier New"/>
                <w:b/>
                <w:color w:val="007F00"/>
                <w:sz w:val="18"/>
              </w:rPr>
              <w:t>statement</w:t>
            </w:r>
            <w:r>
              <w:rPr>
                <w:rFonts w:ascii="Courier New" w:eastAsia="Courier New" w:hAnsi="Courier New" w:cs="Courier New"/>
                <w:sz w:val="18"/>
              </w:rPr>
              <w:t>.</w:t>
            </w:r>
            <w:r>
              <w:rPr>
                <w:rFonts w:ascii="Courier New" w:eastAsia="Courier New" w:hAnsi="Courier New" w:cs="Courier New"/>
                <w:b/>
                <w:color w:val="007F00"/>
                <w:sz w:val="18"/>
              </w:rPr>
              <w:t>execute</w:t>
            </w:r>
            <w:r>
              <w:rPr>
                <w:rFonts w:ascii="Courier New" w:eastAsia="Courier New" w:hAnsi="Courier New" w:cs="Courier New"/>
                <w:sz w:val="18"/>
              </w:rPr>
              <w:t>();</w:t>
            </w:r>
          </w:p>
          <w:p w14:paraId="0166B416" w14:textId="77777777" w:rsidR="001B6146" w:rsidRDefault="00000000">
            <w:pPr>
              <w:spacing w:after="313" w:line="259" w:lineRule="auto"/>
              <w:ind w:left="98" w:right="0" w:firstLine="0"/>
              <w:jc w:val="left"/>
            </w:pPr>
            <w:r>
              <w:rPr>
                <w:rFonts w:ascii="Courier New" w:eastAsia="Courier New" w:hAnsi="Courier New" w:cs="Courier New"/>
                <w:color w:val="FF0000"/>
                <w:sz w:val="18"/>
              </w:rPr>
              <w:t>}</w:t>
            </w:r>
          </w:p>
          <w:p w14:paraId="5C1758E7" w14:textId="77777777" w:rsidR="001B6146" w:rsidRDefault="00000000">
            <w:pPr>
              <w:spacing w:after="0" w:line="269" w:lineRule="auto"/>
              <w:ind w:left="0" w:right="0" w:firstLine="0"/>
            </w:pPr>
            <w:r>
              <w:rPr>
                <w:sz w:val="20"/>
              </w:rPr>
              <w:t xml:space="preserve">The </w:t>
            </w:r>
            <w:r>
              <w:rPr>
                <w:rFonts w:ascii="Courier New" w:eastAsia="Courier New" w:hAnsi="Courier New" w:cs="Courier New"/>
                <w:sz w:val="16"/>
              </w:rPr>
              <w:t xml:space="preserve">SET TRANSACTION READ ONLY </w:t>
            </w:r>
            <w:r>
              <w:rPr>
                <w:sz w:val="20"/>
              </w:rPr>
              <w:t>command must run after disabling the auto-commit status, as otherwise it is only applied for this particular statement only.</w:t>
            </w:r>
          </w:p>
          <w:p w14:paraId="06BA7681"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344623D" wp14:editId="0179ABDC">
                      <wp:extent cx="2140547" cy="5061"/>
                      <wp:effectExtent l="0" t="0" r="0" b="0"/>
                      <wp:docPr id="15616" name="Group 156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28" name="Shape 102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16" style="width:168.547pt;height:0.3985pt;mso-position-horizontal-relative:char;mso-position-vertical-relative:line" coordsize="21405,50">
                      <v:shape id="Shape 1028" style="position:absolute;width:21405;height:0;left:0;top:0;" coordsize="2140547,0" path="m0,0l2140547,0">
                        <v:stroke weight="0.3985pt" endcap="flat" joinstyle="miter" miterlimit="10" on="true" color="#000000"/>
                        <v:fill on="false" color="#000000" opacity="0"/>
                      </v:shape>
                    </v:group>
                  </w:pict>
                </mc:Fallback>
              </mc:AlternateContent>
            </w:r>
          </w:p>
          <w:p w14:paraId="3A60F6F9" w14:textId="77777777" w:rsidR="001B6146" w:rsidRDefault="00000000">
            <w:pPr>
              <w:spacing w:after="0" w:line="259" w:lineRule="auto"/>
              <w:ind w:left="277" w:right="0" w:firstLine="0"/>
              <w:jc w:val="left"/>
            </w:pPr>
            <w:r>
              <w:rPr>
                <w:i/>
                <w:sz w:val="20"/>
                <w:vertAlign w:val="superscript"/>
              </w:rPr>
              <w:t>a</w:t>
            </w:r>
            <w:hyperlink r:id="rId40" w:anchor="JJDBC28956">
              <w:r>
                <w:rPr>
                  <w:color w:val="000099"/>
                  <w:sz w:val="15"/>
                </w:rPr>
                <w:t>https://docs.oracle.com/database/121/JJDBC/apxtips.htm#JJDBC28956</w:t>
              </w:r>
            </w:hyperlink>
          </w:p>
        </w:tc>
      </w:tr>
    </w:tbl>
    <w:p w14:paraId="64F075E8" w14:textId="77777777" w:rsidR="001B6146" w:rsidRDefault="001B6146">
      <w:pPr>
        <w:spacing w:after="0" w:line="259" w:lineRule="auto"/>
        <w:ind w:left="-1440" w:right="18" w:firstLine="0"/>
        <w:jc w:val="left"/>
      </w:pPr>
    </w:p>
    <w:tbl>
      <w:tblPr>
        <w:tblStyle w:val="TableGrid"/>
        <w:tblW w:w="9352" w:type="dxa"/>
        <w:tblInd w:w="4" w:type="dxa"/>
        <w:tblCellMar>
          <w:top w:w="0" w:type="dxa"/>
          <w:left w:w="562" w:type="dxa"/>
          <w:bottom w:w="0" w:type="dxa"/>
          <w:right w:w="115" w:type="dxa"/>
        </w:tblCellMar>
        <w:tblLook w:val="04A0" w:firstRow="1" w:lastRow="0" w:firstColumn="1" w:lastColumn="0" w:noHBand="0" w:noVBand="1"/>
      </w:tblPr>
      <w:tblGrid>
        <w:gridCol w:w="9352"/>
      </w:tblGrid>
      <w:tr w:rsidR="001B6146" w14:paraId="286FABED" w14:textId="77777777">
        <w:trPr>
          <w:trHeight w:val="278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7E8404F" w14:textId="77777777" w:rsidR="001B6146" w:rsidRDefault="00000000">
            <w:pPr>
              <w:spacing w:after="0" w:line="259" w:lineRule="auto"/>
              <w:ind w:left="0" w:right="0" w:firstLine="0"/>
              <w:jc w:val="left"/>
            </w:pPr>
            <w:r>
              <w:rPr>
                <w:rFonts w:ascii="Open Sans" w:eastAsia="Open Sans" w:hAnsi="Open Sans" w:cs="Open Sans"/>
                <w:b/>
                <w:sz w:val="26"/>
              </w:rPr>
              <w:t>SQL Server</w:t>
            </w:r>
          </w:p>
          <w:p w14:paraId="23F820A5" w14:textId="77777777" w:rsidR="001B6146" w:rsidRDefault="00000000">
            <w:pPr>
              <w:spacing w:after="137" w:line="264" w:lineRule="auto"/>
              <w:ind w:left="0" w:right="0" w:firstLine="0"/>
            </w:pPr>
            <w:r>
              <w:rPr>
                <w:sz w:val="20"/>
              </w:rPr>
              <w:t xml:space="preserve">Like Oracle, the read-only </w:t>
            </w:r>
            <w:r>
              <w:rPr>
                <w:rFonts w:ascii="Courier New" w:eastAsia="Courier New" w:hAnsi="Courier New" w:cs="Courier New"/>
                <w:sz w:val="16"/>
              </w:rPr>
              <w:t xml:space="preserve">Connection </w:t>
            </w:r>
            <w:r>
              <w:rPr>
                <w:sz w:val="20"/>
              </w:rPr>
              <w:t>does not propagate to the database engine, and the only way to disable SQL modifications is to use a separate account, restricted to viewing data only.</w:t>
            </w:r>
          </w:p>
          <w:p w14:paraId="01091CDB" w14:textId="77777777" w:rsidR="001B6146" w:rsidRDefault="00000000">
            <w:pPr>
              <w:spacing w:after="0" w:line="281" w:lineRule="auto"/>
              <w:ind w:left="0" w:right="0" w:firstLine="0"/>
            </w:pPr>
            <w:r>
              <w:rPr>
                <w:sz w:val="20"/>
              </w:rPr>
              <w:t xml:space="preserve">Setting the </w:t>
            </w:r>
            <w:hyperlink r:id="rId41">
              <w:r>
                <w:rPr>
                  <w:rFonts w:ascii="Courier New" w:eastAsia="Courier New" w:hAnsi="Courier New" w:cs="Courier New"/>
                  <w:color w:val="000099"/>
                  <w:sz w:val="16"/>
                </w:rPr>
                <w:t>ApplicationIntent=ReadOnly</w:t>
              </w:r>
            </w:hyperlink>
            <w:r>
              <w:rPr>
                <w:i/>
                <w:color w:val="000099"/>
                <w:sz w:val="20"/>
                <w:vertAlign w:val="superscript"/>
              </w:rPr>
              <w:t xml:space="preserve">a </w:t>
            </w:r>
            <w:r>
              <w:rPr>
                <w:sz w:val="20"/>
              </w:rPr>
              <w:t xml:space="preserve">connection property does not prevent the JDBC driver from executing modifying statements on a read-only </w:t>
            </w:r>
            <w:r>
              <w:rPr>
                <w:rFonts w:ascii="Courier New" w:eastAsia="Courier New" w:hAnsi="Courier New" w:cs="Courier New"/>
                <w:sz w:val="16"/>
              </w:rPr>
              <w:t>Connection</w:t>
            </w:r>
            <w:r>
              <w:rPr>
                <w:sz w:val="20"/>
              </w:rPr>
              <w:t>. This property has the purpose of routing read-write and read-only connections to replica nodes instead.</w:t>
            </w:r>
          </w:p>
          <w:p w14:paraId="55A4B8E7"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3C2C767" wp14:editId="526881E6">
                      <wp:extent cx="2140547" cy="5061"/>
                      <wp:effectExtent l="0" t="0" r="0" b="0"/>
                      <wp:docPr id="16141" name="Group 1614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72" name="Shape 107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41" style="width:168.547pt;height:0.3985pt;mso-position-horizontal-relative:char;mso-position-vertical-relative:line" coordsize="21405,50">
                      <v:shape id="Shape 1072" style="position:absolute;width:21405;height:0;left:0;top:0;" coordsize="2140547,0" path="m0,0l2140547,0">
                        <v:stroke weight="0.3985pt" endcap="flat" joinstyle="miter" miterlimit="10" on="true" color="#000000"/>
                        <v:fill on="false" color="#000000" opacity="0"/>
                      </v:shape>
                    </v:group>
                  </w:pict>
                </mc:Fallback>
              </mc:AlternateContent>
            </w:r>
          </w:p>
          <w:p w14:paraId="2B564A5D" w14:textId="77777777" w:rsidR="001B6146" w:rsidRDefault="00000000">
            <w:pPr>
              <w:spacing w:after="0" w:line="259" w:lineRule="auto"/>
              <w:ind w:left="277" w:right="0" w:firstLine="0"/>
              <w:jc w:val="left"/>
            </w:pPr>
            <w:r>
              <w:rPr>
                <w:i/>
                <w:sz w:val="20"/>
                <w:vertAlign w:val="superscript"/>
              </w:rPr>
              <w:t>a</w:t>
            </w:r>
            <w:hyperlink r:id="rId42">
              <w:r>
                <w:rPr>
                  <w:color w:val="000099"/>
                  <w:sz w:val="15"/>
                </w:rPr>
                <w:t>https://msdn.microsoft.com/en-us/library/gg471494.aspx</w:t>
              </w:r>
            </w:hyperlink>
          </w:p>
        </w:tc>
      </w:tr>
      <w:tr w:rsidR="001B6146" w14:paraId="709FCBA3" w14:textId="77777777">
        <w:trPr>
          <w:trHeight w:val="377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236A47" w14:textId="77777777" w:rsidR="001B6146" w:rsidRDefault="00000000">
            <w:pPr>
              <w:spacing w:after="0" w:line="259" w:lineRule="auto"/>
              <w:ind w:left="0" w:right="0" w:firstLine="0"/>
              <w:jc w:val="left"/>
            </w:pPr>
            <w:r>
              <w:rPr>
                <w:rFonts w:ascii="Open Sans" w:eastAsia="Open Sans" w:hAnsi="Open Sans" w:cs="Open Sans"/>
                <w:b/>
                <w:sz w:val="26"/>
              </w:rPr>
              <w:lastRenderedPageBreak/>
              <w:t>PostgreSQL</w:t>
            </w:r>
          </w:p>
          <w:p w14:paraId="6CB1150F" w14:textId="77777777" w:rsidR="001B6146" w:rsidRDefault="00000000">
            <w:pPr>
              <w:spacing w:after="125" w:line="272" w:lineRule="auto"/>
              <w:ind w:left="0" w:right="0" w:firstLine="0"/>
            </w:pPr>
            <w:r>
              <w:rPr>
                <w:sz w:val="20"/>
              </w:rPr>
              <w:t xml:space="preserve">An exception is thrown when executing a modifying statement on a </w:t>
            </w:r>
            <w:r>
              <w:rPr>
                <w:rFonts w:ascii="Courier New" w:eastAsia="Courier New" w:hAnsi="Courier New" w:cs="Courier New"/>
                <w:sz w:val="16"/>
              </w:rPr>
              <w:t xml:space="preserve">Connection </w:t>
            </w:r>
            <w:r>
              <w:rPr>
                <w:sz w:val="20"/>
              </w:rPr>
              <w:t xml:space="preserve">whose readonly status was set to </w:t>
            </w:r>
            <w:r>
              <w:rPr>
                <w:rFonts w:ascii="Courier New" w:eastAsia="Courier New" w:hAnsi="Courier New" w:cs="Courier New"/>
                <w:sz w:val="16"/>
              </w:rPr>
              <w:t>true</w:t>
            </w:r>
            <w:r>
              <w:rPr>
                <w:sz w:val="20"/>
              </w:rPr>
              <w:t>.</w:t>
            </w:r>
          </w:p>
          <w:p w14:paraId="6081D689" w14:textId="77777777" w:rsidR="001B6146" w:rsidRDefault="00000000">
            <w:pPr>
              <w:spacing w:after="0" w:line="271" w:lineRule="auto"/>
              <w:ind w:left="0" w:right="0" w:firstLine="0"/>
            </w:pPr>
            <w:r>
              <w:rPr>
                <w:sz w:val="20"/>
              </w:rPr>
              <w:t xml:space="preserve">The database engine optimizes read-only transactions, so the false-positives anomaly rate is reduced for the Serializable isolation level, and it allows </w:t>
            </w:r>
            <w:hyperlink r:id="rId43">
              <w:r>
                <w:rPr>
                  <w:i/>
                  <w:color w:val="000099"/>
                  <w:sz w:val="20"/>
                </w:rPr>
                <w:t>deferrable</w:t>
              </w:r>
            </w:hyperlink>
            <w:r>
              <w:rPr>
                <w:i/>
                <w:color w:val="000099"/>
                <w:sz w:val="20"/>
              </w:rPr>
              <w:t xml:space="preserve"> </w:t>
            </w:r>
            <w:hyperlink r:id="rId44">
              <w:r>
                <w:rPr>
                  <w:color w:val="000099"/>
                  <w:sz w:val="20"/>
                </w:rPr>
                <w:t>serializable snap</w:t>
              </w:r>
            </w:hyperlink>
            <w:hyperlink r:id="rId45">
              <w:r>
                <w:rPr>
                  <w:color w:val="000099"/>
                  <w:sz w:val="20"/>
                </w:rPr>
                <w:t>shots</w:t>
              </w:r>
            </w:hyperlink>
            <w:r>
              <w:rPr>
                <w:i/>
                <w:color w:val="000099"/>
                <w:sz w:val="20"/>
                <w:vertAlign w:val="superscript"/>
              </w:rPr>
              <w:t>a</w:t>
            </w:r>
            <w:r>
              <w:rPr>
                <w:sz w:val="20"/>
              </w:rPr>
              <w:t xml:space="preserve">. A deferrable snapshot is activated when executing </w:t>
            </w:r>
            <w:r>
              <w:rPr>
                <w:rFonts w:ascii="Courier New" w:eastAsia="Courier New" w:hAnsi="Courier New" w:cs="Courier New"/>
                <w:sz w:val="16"/>
              </w:rPr>
              <w:t>SET TRANSACTION SERIALIZABLE READ ONLY DEFERRABLE</w:t>
            </w:r>
            <w:r>
              <w:rPr>
                <w:sz w:val="20"/>
              </w:rPr>
              <w:t>. The current transaction must wait for a safe snapshot to become available, which can be executed without the risk of being aborted by a non-serializable anomaly. If the default read-write Serializable transactions are problematic when accessing large volumes of data, the deferrable snapshots might be a better alternative for long-running transactions.</w:t>
            </w:r>
          </w:p>
          <w:p w14:paraId="701029CC" w14:textId="77777777" w:rsidR="001B6146" w:rsidRDefault="00000000">
            <w:pPr>
              <w:spacing w:after="42" w:line="259" w:lineRule="auto"/>
              <w:ind w:left="0" w:right="0" w:firstLine="0"/>
              <w:jc w:val="left"/>
            </w:pPr>
            <w:r>
              <w:rPr>
                <w:rFonts w:ascii="Calibri" w:eastAsia="Calibri" w:hAnsi="Calibri" w:cs="Calibri"/>
                <w:noProof/>
              </w:rPr>
              <mc:AlternateContent>
                <mc:Choice Requires="wpg">
                  <w:drawing>
                    <wp:inline distT="0" distB="0" distL="0" distR="0" wp14:anchorId="0E4C44D7" wp14:editId="1EF993AC">
                      <wp:extent cx="2140547" cy="5061"/>
                      <wp:effectExtent l="0" t="0" r="0" b="0"/>
                      <wp:docPr id="15816" name="Group 158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98" name="Shape 109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16" style="width:168.547pt;height:0.3985pt;mso-position-horizontal-relative:char;mso-position-vertical-relative:line" coordsize="21405,50">
                      <v:shape id="Shape 1098" style="position:absolute;width:21405;height:0;left:0;top:0;" coordsize="2140547,0" path="m0,0l2140547,0">
                        <v:stroke weight="0.3985pt" endcap="flat" joinstyle="miter" miterlimit="10" on="true" color="#000000"/>
                        <v:fill on="false" color="#000000" opacity="0"/>
                      </v:shape>
                    </v:group>
                  </w:pict>
                </mc:Fallback>
              </mc:AlternateContent>
            </w:r>
          </w:p>
          <w:p w14:paraId="372063C2" w14:textId="77777777" w:rsidR="001B6146" w:rsidRDefault="00000000">
            <w:pPr>
              <w:spacing w:after="0" w:line="259" w:lineRule="auto"/>
              <w:ind w:left="277" w:right="0" w:firstLine="0"/>
              <w:jc w:val="left"/>
            </w:pPr>
            <w:r>
              <w:rPr>
                <w:i/>
                <w:sz w:val="20"/>
                <w:vertAlign w:val="superscript"/>
              </w:rPr>
              <w:t>a</w:t>
            </w:r>
            <w:hyperlink r:id="rId46">
              <w:r>
                <w:rPr>
                  <w:color w:val="000099"/>
                  <w:sz w:val="15"/>
                </w:rPr>
                <w:t>http://arxiv.org/pdf/1208.4179.pdf</w:t>
              </w:r>
            </w:hyperlink>
          </w:p>
        </w:tc>
      </w:tr>
      <w:tr w:rsidR="001B6146" w14:paraId="58DB8916" w14:textId="77777777">
        <w:trPr>
          <w:trHeight w:val="253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D5414F7" w14:textId="77777777" w:rsidR="001B6146" w:rsidRDefault="00000000">
            <w:pPr>
              <w:spacing w:after="0" w:line="259" w:lineRule="auto"/>
              <w:ind w:left="0" w:right="0" w:firstLine="0"/>
              <w:jc w:val="left"/>
            </w:pPr>
            <w:r>
              <w:rPr>
                <w:rFonts w:ascii="Open Sans" w:eastAsia="Open Sans" w:hAnsi="Open Sans" w:cs="Open Sans"/>
                <w:b/>
                <w:sz w:val="26"/>
              </w:rPr>
              <w:t>MySQL</w:t>
            </w:r>
          </w:p>
          <w:p w14:paraId="5DB51F2C" w14:textId="77777777" w:rsidR="001B6146" w:rsidRDefault="00000000">
            <w:pPr>
              <w:spacing w:after="123" w:line="264" w:lineRule="auto"/>
              <w:ind w:left="0" w:right="0" w:firstLine="0"/>
              <w:jc w:val="left"/>
            </w:pPr>
            <w:r>
              <w:rPr>
                <w:sz w:val="20"/>
              </w:rPr>
              <w:t xml:space="preserve">If a modifying statement is executed when the </w:t>
            </w:r>
            <w:r>
              <w:rPr>
                <w:rFonts w:ascii="Courier New" w:eastAsia="Courier New" w:hAnsi="Courier New" w:cs="Courier New"/>
                <w:sz w:val="16"/>
              </w:rPr>
              <w:t xml:space="preserve">Connection </w:t>
            </w:r>
            <w:r>
              <w:rPr>
                <w:sz w:val="20"/>
              </w:rPr>
              <w:t>is set to read-only, the JDBC driver will throw an exception.</w:t>
            </w:r>
          </w:p>
          <w:p w14:paraId="0879B3DA" w14:textId="77777777" w:rsidR="001B6146" w:rsidRDefault="00000000">
            <w:pPr>
              <w:spacing w:after="0" w:line="285" w:lineRule="auto"/>
              <w:ind w:left="0" w:right="0" w:firstLine="0"/>
              <w:jc w:val="left"/>
            </w:pPr>
            <w:r>
              <w:rPr>
                <w:sz w:val="20"/>
              </w:rPr>
              <w:t xml:space="preserve">InnoDB can optimize </w:t>
            </w:r>
            <w:hyperlink r:id="rId47">
              <w:r>
                <w:rPr>
                  <w:color w:val="000099"/>
                  <w:sz w:val="20"/>
                </w:rPr>
                <w:t>read-only transactions</w:t>
              </w:r>
            </w:hyperlink>
            <w:hyperlink r:id="rId48">
              <w:r>
                <w:rPr>
                  <w:i/>
                  <w:color w:val="000099"/>
                  <w:sz w:val="20"/>
                  <w:vertAlign w:val="superscript"/>
                </w:rPr>
                <w:t>a</w:t>
              </w:r>
            </w:hyperlink>
            <w:r>
              <w:rPr>
                <w:i/>
                <w:color w:val="000099"/>
                <w:sz w:val="20"/>
                <w:vertAlign w:val="superscript"/>
              </w:rPr>
              <w:t xml:space="preserve"> </w:t>
            </w:r>
            <w:r>
              <w:rPr>
                <w:sz w:val="20"/>
              </w:rPr>
              <w:t>because it can skip the transaction ID generation as it is not required for read-only transactions.</w:t>
            </w:r>
          </w:p>
          <w:p w14:paraId="3FF57601"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7A2DD5D" wp14:editId="6E13153F">
                      <wp:extent cx="2140547" cy="5061"/>
                      <wp:effectExtent l="0" t="0" r="0" b="0"/>
                      <wp:docPr id="16516" name="Group 165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14" name="Shape 111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516" style="width:168.547pt;height:0.3985pt;mso-position-horizontal-relative:char;mso-position-vertical-relative:line" coordsize="21405,50">
                      <v:shape id="Shape 1114" style="position:absolute;width:21405;height:0;left:0;top:0;" coordsize="2140547,0" path="m0,0l2140547,0">
                        <v:stroke weight="0.3985pt" endcap="flat" joinstyle="miter" miterlimit="10" on="true" color="#000000"/>
                        <v:fill on="false" color="#000000" opacity="0"/>
                      </v:shape>
                    </v:group>
                  </w:pict>
                </mc:Fallback>
              </mc:AlternateContent>
            </w:r>
          </w:p>
          <w:p w14:paraId="46BCECF7" w14:textId="77777777" w:rsidR="001B6146" w:rsidRDefault="00000000">
            <w:pPr>
              <w:spacing w:after="0" w:line="259" w:lineRule="auto"/>
              <w:ind w:left="277" w:right="0" w:firstLine="0"/>
              <w:jc w:val="left"/>
            </w:pPr>
            <w:r>
              <w:rPr>
                <w:i/>
                <w:sz w:val="20"/>
                <w:vertAlign w:val="superscript"/>
              </w:rPr>
              <w:t>a</w:t>
            </w:r>
            <w:hyperlink r:id="rId49">
              <w:r>
                <w:rPr>
                  <w:color w:val="000099"/>
                  <w:sz w:val="15"/>
                </w:rPr>
                <w:t>https://dev.mysql.com/doc/refman/5.7/en/innodb-performance-ro-txn.html</w:t>
              </w:r>
            </w:hyperlink>
          </w:p>
        </w:tc>
      </w:tr>
    </w:tbl>
    <w:p w14:paraId="7926E429" w14:textId="77777777" w:rsidR="001B6146" w:rsidRDefault="00000000">
      <w:pPr>
        <w:pStyle w:val="Heading2"/>
        <w:spacing w:after="182" w:line="259" w:lineRule="auto"/>
        <w:ind w:left="-5"/>
      </w:pPr>
      <w:r>
        <w:rPr>
          <w:sz w:val="26"/>
        </w:rPr>
        <w:t>6.5.1 Read-only transaction routing</w:t>
      </w:r>
    </w:p>
    <w:p w14:paraId="640BEA8F" w14:textId="77777777" w:rsidR="001B6146" w:rsidRDefault="00000000">
      <w:pPr>
        <w:spacing w:after="7"/>
        <w:ind w:left="-5" w:right="0"/>
      </w:pPr>
      <w:r>
        <w:t>Setting up a database replication environment is useful for both high-availability (a Slave can replace a crashing Master) and traffic splitting. In a Master-Slave replication topology, the Master node accepts both read-write and read-only transactions, while Slave nodes only take read-only traffic.</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1B6146" w14:paraId="1882F08B" w14:textId="77777777">
        <w:trPr>
          <w:trHeight w:val="236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8325EEB" w14:textId="77777777" w:rsidR="001B6146" w:rsidRDefault="00000000">
            <w:pPr>
              <w:spacing w:after="0" w:line="259" w:lineRule="auto"/>
              <w:ind w:left="0" w:right="0" w:firstLine="0"/>
              <w:jc w:val="left"/>
            </w:pPr>
            <w:r>
              <w:rPr>
                <w:rFonts w:ascii="Open Sans" w:eastAsia="Open Sans" w:hAnsi="Open Sans" w:cs="Open Sans"/>
                <w:b/>
                <w:sz w:val="26"/>
              </w:rPr>
              <w:t>Oracle</w:t>
            </w:r>
          </w:p>
          <w:p w14:paraId="7F703795" w14:textId="77777777" w:rsidR="001B6146" w:rsidRDefault="00000000">
            <w:pPr>
              <w:spacing w:after="0" w:line="267" w:lineRule="auto"/>
              <w:ind w:left="0" w:right="0" w:firstLine="0"/>
            </w:pPr>
            <w:r>
              <w:rPr>
                <w:sz w:val="20"/>
              </w:rPr>
              <w:t xml:space="preserve">The Oracle ADG (Active Data Guard) allows an enterprise application to distribute read-write traffic to the Primary node and read-only transactions to a Standby database. </w:t>
            </w:r>
            <w:hyperlink r:id="rId50">
              <w:r>
                <w:rPr>
                  <w:color w:val="000099"/>
                  <w:sz w:val="20"/>
                </w:rPr>
                <w:t xml:space="preserve">WebLogic </w:t>
              </w:r>
            </w:hyperlink>
            <w:hyperlink r:id="rId51">
              <w:r>
                <w:rPr>
                  <w:color w:val="000099"/>
                  <w:sz w:val="20"/>
                </w:rPr>
                <w:t>Server GridLink Data Source</w:t>
              </w:r>
            </w:hyperlink>
            <w:hyperlink r:id="rId52">
              <w:r>
                <w:rPr>
                  <w:i/>
                  <w:color w:val="000099"/>
                  <w:sz w:val="20"/>
                  <w:vertAlign w:val="superscript"/>
                </w:rPr>
                <w:t>a</w:t>
              </w:r>
            </w:hyperlink>
            <w:r>
              <w:rPr>
                <w:i/>
                <w:color w:val="000099"/>
                <w:sz w:val="20"/>
                <w:vertAlign w:val="superscript"/>
              </w:rPr>
              <w:t xml:space="preserve"> </w:t>
            </w:r>
            <w:r>
              <w:rPr>
                <w:sz w:val="20"/>
              </w:rPr>
              <w:t>provides failover and load balancing capabilities over Oracle ADG.</w:t>
            </w:r>
          </w:p>
          <w:p w14:paraId="0F1143A5"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D22F145" wp14:editId="708EC6BF">
                      <wp:extent cx="2140547" cy="5061"/>
                      <wp:effectExtent l="0" t="0" r="0" b="0"/>
                      <wp:docPr id="15923" name="Group 1592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64" name="Shape 116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23" style="width:168.547pt;height:0.3985pt;mso-position-horizontal-relative:char;mso-position-vertical-relative:line" coordsize="21405,50">
                      <v:shape id="Shape 1164" style="position:absolute;width:21405;height:0;left:0;top:0;" coordsize="2140547,0" path="m0,0l2140547,0">
                        <v:stroke weight="0.3985pt" endcap="flat" joinstyle="miter" miterlimit="10" on="true" color="#000000"/>
                        <v:fill on="false" color="#000000" opacity="0"/>
                      </v:shape>
                    </v:group>
                  </w:pict>
                </mc:Fallback>
              </mc:AlternateContent>
            </w:r>
          </w:p>
          <w:p w14:paraId="245CD5CD" w14:textId="77777777" w:rsidR="001B6146" w:rsidRDefault="00000000">
            <w:pPr>
              <w:spacing w:after="0" w:line="259" w:lineRule="auto"/>
              <w:ind w:left="277" w:right="0" w:firstLine="0"/>
              <w:jc w:val="left"/>
            </w:pPr>
            <w:r>
              <w:rPr>
                <w:i/>
                <w:sz w:val="20"/>
                <w:vertAlign w:val="superscript"/>
              </w:rPr>
              <w:t>a</w:t>
            </w:r>
            <w:hyperlink r:id="rId53">
              <w:r>
                <w:rPr>
                  <w:color w:val="000099"/>
                  <w:sz w:val="15"/>
                </w:rPr>
                <w:t>http://www.oracle.com/technetwork/middleware/weblogic/learnmore/1534212</w:t>
              </w:r>
            </w:hyperlink>
          </w:p>
        </w:tc>
      </w:tr>
    </w:tbl>
    <w:p w14:paraId="7252BA84" w14:textId="77777777" w:rsidR="001B6146" w:rsidRDefault="00000000">
      <w:pPr>
        <w:pStyle w:val="Heading2"/>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183"/>
      </w:pPr>
      <w:r>
        <w:rPr>
          <w:sz w:val="26"/>
        </w:rPr>
        <w:t>SQL Server</w:t>
      </w:r>
    </w:p>
    <w:p w14:paraId="6ACA58BB" w14:textId="77777777" w:rsidR="001B6146" w:rsidRDefault="00000000">
      <w:pPr>
        <w:pBdr>
          <w:top w:val="single" w:sz="3" w:space="0" w:color="646464"/>
          <w:left w:val="single" w:sz="3" w:space="0" w:color="646464"/>
          <w:bottom w:val="single" w:sz="3" w:space="0" w:color="646464"/>
          <w:right w:val="single" w:sz="3" w:space="0" w:color="646464"/>
        </w:pBdr>
        <w:shd w:val="clear" w:color="auto" w:fill="F0F0F0"/>
        <w:spacing w:after="637" w:line="265" w:lineRule="auto"/>
        <w:ind w:left="561" w:right="183"/>
      </w:pPr>
      <w:r>
        <w:rPr>
          <w:sz w:val="20"/>
        </w:rPr>
        <w:t xml:space="preserve">The database Availability Group must be configured to use read-only routing, in which case the redirection is based on the </w:t>
      </w:r>
      <w:r>
        <w:rPr>
          <w:rFonts w:ascii="Courier New" w:eastAsia="Courier New" w:hAnsi="Courier New" w:cs="Courier New"/>
          <w:sz w:val="16"/>
        </w:rPr>
        <w:t xml:space="preserve">ApplicationIntent </w:t>
      </w:r>
      <w:r>
        <w:rPr>
          <w:sz w:val="20"/>
        </w:rPr>
        <w:t xml:space="preserve">connection property. This means that the application requires separate </w:t>
      </w:r>
      <w:r>
        <w:rPr>
          <w:rFonts w:ascii="Courier New" w:eastAsia="Courier New" w:hAnsi="Courier New" w:cs="Courier New"/>
          <w:sz w:val="16"/>
        </w:rPr>
        <w:t xml:space="preserve">DataSource(s) </w:t>
      </w:r>
      <w:r>
        <w:rPr>
          <w:sz w:val="20"/>
        </w:rPr>
        <w:t>for read-write and read-only connections, and transaction routing must initiate in the application service layer.</w:t>
      </w:r>
    </w:p>
    <w:tbl>
      <w:tblPr>
        <w:tblStyle w:val="TableGrid"/>
        <w:tblW w:w="9352" w:type="dxa"/>
        <w:tblInd w:w="4" w:type="dxa"/>
        <w:tblCellMar>
          <w:top w:w="0" w:type="dxa"/>
          <w:left w:w="562" w:type="dxa"/>
          <w:bottom w:w="0" w:type="dxa"/>
          <w:right w:w="91" w:type="dxa"/>
        </w:tblCellMar>
        <w:tblLook w:val="04A0" w:firstRow="1" w:lastRow="0" w:firstColumn="1" w:lastColumn="0" w:noHBand="0" w:noVBand="1"/>
      </w:tblPr>
      <w:tblGrid>
        <w:gridCol w:w="9352"/>
      </w:tblGrid>
      <w:tr w:rsidR="001B6146" w14:paraId="0F4A848E" w14:textId="77777777">
        <w:trPr>
          <w:trHeight w:val="215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FBAE4A8" w14:textId="77777777" w:rsidR="001B6146" w:rsidRDefault="00000000">
            <w:pPr>
              <w:spacing w:after="0" w:line="259" w:lineRule="auto"/>
              <w:ind w:left="0" w:right="0" w:firstLine="0"/>
              <w:jc w:val="left"/>
            </w:pPr>
            <w:r>
              <w:rPr>
                <w:rFonts w:ascii="Open Sans" w:eastAsia="Open Sans" w:hAnsi="Open Sans" w:cs="Open Sans"/>
                <w:b/>
                <w:sz w:val="26"/>
              </w:rPr>
              <w:lastRenderedPageBreak/>
              <w:t>PostgreSQL</w:t>
            </w:r>
          </w:p>
          <w:p w14:paraId="6FE3026E" w14:textId="77777777" w:rsidR="001B6146" w:rsidRDefault="00000000">
            <w:pPr>
              <w:spacing w:after="41" w:line="259" w:lineRule="auto"/>
              <w:ind w:left="0" w:right="0" w:firstLine="0"/>
              <w:jc w:val="right"/>
            </w:pPr>
            <w:r>
              <w:rPr>
                <w:sz w:val="20"/>
              </w:rPr>
              <w:t xml:space="preserve">The JDBC driver defines </w:t>
            </w:r>
            <w:hyperlink r:id="rId54">
              <w:r>
                <w:rPr>
                  <w:color w:val="000099"/>
                  <w:sz w:val="20"/>
                </w:rPr>
                <w:t>two connection properties</w:t>
              </w:r>
            </w:hyperlink>
            <w:r>
              <w:rPr>
                <w:i/>
                <w:color w:val="000099"/>
                <w:sz w:val="20"/>
                <w:vertAlign w:val="superscript"/>
              </w:rPr>
              <w:t xml:space="preserve">a </w:t>
            </w:r>
            <w:r>
              <w:rPr>
                <w:sz w:val="20"/>
              </w:rPr>
              <w:t xml:space="preserve">for load balancing purposes: </w:t>
            </w:r>
            <w:r>
              <w:rPr>
                <w:rFonts w:ascii="Courier New" w:eastAsia="Courier New" w:hAnsi="Courier New" w:cs="Courier New"/>
                <w:sz w:val="16"/>
              </w:rPr>
              <w:t>loadBalanceHosts</w:t>
            </w:r>
          </w:p>
          <w:p w14:paraId="72E12A79" w14:textId="77777777" w:rsidR="001B6146" w:rsidRDefault="00000000">
            <w:pPr>
              <w:spacing w:after="0" w:line="280" w:lineRule="auto"/>
              <w:ind w:left="0" w:right="0" w:firstLine="0"/>
            </w:pPr>
            <w:r>
              <w:rPr>
                <w:sz w:val="20"/>
              </w:rPr>
              <w:t xml:space="preserve">(which is disabled by default) and </w:t>
            </w:r>
            <w:r>
              <w:rPr>
                <w:rFonts w:ascii="Courier New" w:eastAsia="Courier New" w:hAnsi="Courier New" w:cs="Courier New"/>
                <w:sz w:val="16"/>
              </w:rPr>
              <w:t xml:space="preserve">targetServerType </w:t>
            </w:r>
            <w:r>
              <w:rPr>
                <w:sz w:val="20"/>
              </w:rPr>
              <w:t>(</w:t>
            </w:r>
            <w:r>
              <w:rPr>
                <w:rFonts w:ascii="Courier New" w:eastAsia="Courier New" w:hAnsi="Courier New" w:cs="Courier New"/>
                <w:sz w:val="16"/>
              </w:rPr>
              <w:t xml:space="preserve">master </w:t>
            </w:r>
            <w:r>
              <w:rPr>
                <w:sz w:val="20"/>
              </w:rPr>
              <w:t xml:space="preserve">or </w:t>
            </w:r>
            <w:r>
              <w:rPr>
                <w:rFonts w:ascii="Courier New" w:eastAsia="Courier New" w:hAnsi="Courier New" w:cs="Courier New"/>
                <w:sz w:val="16"/>
              </w:rPr>
              <w:t>preferSlave</w:t>
            </w:r>
            <w:r>
              <w:rPr>
                <w:sz w:val="20"/>
              </w:rPr>
              <w:t xml:space="preserve">). To enable transaction routing, the application must do the routing itself using separate </w:t>
            </w:r>
            <w:r>
              <w:rPr>
                <w:rFonts w:ascii="Courier New" w:eastAsia="Courier New" w:hAnsi="Courier New" w:cs="Courier New"/>
                <w:sz w:val="16"/>
              </w:rPr>
              <w:t>DataSource(s)</w:t>
            </w:r>
            <w:r>
              <w:rPr>
                <w:sz w:val="20"/>
              </w:rPr>
              <w:t>.</w:t>
            </w:r>
          </w:p>
          <w:p w14:paraId="43274F2E"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06B6FC5" wp14:editId="24AB9F13">
                      <wp:extent cx="2140547" cy="5061"/>
                      <wp:effectExtent l="0" t="0" r="0" b="0"/>
                      <wp:docPr id="16073" name="Group 160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98" name="Shape 119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73" style="width:168.547pt;height:0.3985pt;mso-position-horizontal-relative:char;mso-position-vertical-relative:line" coordsize="21405,50">
                      <v:shape id="Shape 1198" style="position:absolute;width:21405;height:0;left:0;top:0;" coordsize="2140547,0" path="m0,0l2140547,0">
                        <v:stroke weight="0.3985pt" endcap="flat" joinstyle="miter" miterlimit="10" on="true" color="#000000"/>
                        <v:fill on="false" color="#000000" opacity="0"/>
                      </v:shape>
                    </v:group>
                  </w:pict>
                </mc:Fallback>
              </mc:AlternateContent>
            </w:r>
          </w:p>
          <w:p w14:paraId="56156EDA" w14:textId="77777777" w:rsidR="001B6146" w:rsidRDefault="00000000">
            <w:pPr>
              <w:spacing w:after="0" w:line="259" w:lineRule="auto"/>
              <w:ind w:left="277" w:right="0" w:firstLine="0"/>
              <w:jc w:val="left"/>
            </w:pPr>
            <w:r>
              <w:rPr>
                <w:i/>
                <w:sz w:val="20"/>
                <w:vertAlign w:val="superscript"/>
              </w:rPr>
              <w:t>a</w:t>
            </w:r>
            <w:hyperlink r:id="rId55">
              <w:r>
                <w:rPr>
                  <w:color w:val="000099"/>
                  <w:sz w:val="15"/>
                </w:rPr>
                <w:t>https://jdbc.postgresql.org/documentation/head/connect.html</w:t>
              </w:r>
            </w:hyperlink>
          </w:p>
        </w:tc>
      </w:tr>
      <w:tr w:rsidR="001B6146" w14:paraId="0B83C076" w14:textId="77777777">
        <w:trPr>
          <w:trHeight w:val="190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8CBE985" w14:textId="77777777" w:rsidR="001B6146" w:rsidRDefault="00000000">
            <w:pPr>
              <w:spacing w:after="4" w:line="259" w:lineRule="auto"/>
              <w:ind w:left="0" w:right="0" w:firstLine="0"/>
              <w:jc w:val="left"/>
            </w:pPr>
            <w:r>
              <w:rPr>
                <w:rFonts w:ascii="Open Sans" w:eastAsia="Open Sans" w:hAnsi="Open Sans" w:cs="Open Sans"/>
                <w:b/>
                <w:sz w:val="26"/>
              </w:rPr>
              <w:t>MySQL</w:t>
            </w:r>
          </w:p>
          <w:p w14:paraId="01CA540F" w14:textId="77777777" w:rsidR="001B6146" w:rsidRDefault="00000000">
            <w:pPr>
              <w:spacing w:after="0" w:line="302" w:lineRule="auto"/>
              <w:ind w:left="0" w:right="0" w:firstLine="0"/>
            </w:pPr>
            <w:r>
              <w:rPr>
                <w:sz w:val="20"/>
              </w:rPr>
              <w:t xml:space="preserve">The </w:t>
            </w:r>
            <w:hyperlink r:id="rId56">
              <w:r>
                <w:rPr>
                  <w:rFonts w:ascii="Courier New" w:eastAsia="Courier New" w:hAnsi="Courier New" w:cs="Courier New"/>
                  <w:color w:val="000099"/>
                  <w:sz w:val="16"/>
                </w:rPr>
                <w:t>com.mysql.jdbc.ReplicationDriver</w:t>
              </w:r>
            </w:hyperlink>
            <w:r>
              <w:rPr>
                <w:i/>
                <w:color w:val="000099"/>
                <w:sz w:val="20"/>
                <w:vertAlign w:val="superscript"/>
              </w:rPr>
              <w:t xml:space="preserve">a </w:t>
            </w:r>
            <w:r>
              <w:rPr>
                <w:sz w:val="20"/>
              </w:rPr>
              <w:t xml:space="preserve">supports transaction routing on a Master-Slave topology, the decision being made on the </w:t>
            </w:r>
            <w:r>
              <w:rPr>
                <w:rFonts w:ascii="Courier New" w:eastAsia="Courier New" w:hAnsi="Courier New" w:cs="Courier New"/>
                <w:sz w:val="16"/>
              </w:rPr>
              <w:t xml:space="preserve">Connection </w:t>
            </w:r>
            <w:r>
              <w:rPr>
                <w:sz w:val="20"/>
              </w:rPr>
              <w:t>read-only status basis.</w:t>
            </w:r>
          </w:p>
          <w:p w14:paraId="4A077487" w14:textId="77777777" w:rsidR="001B6146"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70272D1" wp14:editId="63FBB0BD">
                      <wp:extent cx="2140547" cy="5061"/>
                      <wp:effectExtent l="0" t="0" r="0" b="0"/>
                      <wp:docPr id="16773" name="Group 167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12" name="Shape 12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73" style="width:168.547pt;height:0.3985pt;mso-position-horizontal-relative:char;mso-position-vertical-relative:line" coordsize="21405,50">
                      <v:shape id="Shape 1212" style="position:absolute;width:21405;height:0;left:0;top:0;" coordsize="2140547,0" path="m0,0l2140547,0">
                        <v:stroke weight="0.3985pt" endcap="flat" joinstyle="miter" miterlimit="10" on="true" color="#000000"/>
                        <v:fill on="false" color="#000000" opacity="0"/>
                      </v:shape>
                    </v:group>
                  </w:pict>
                </mc:Fallback>
              </mc:AlternateContent>
            </w:r>
          </w:p>
          <w:p w14:paraId="1B0E37EA" w14:textId="77777777" w:rsidR="001B6146" w:rsidRDefault="00000000">
            <w:pPr>
              <w:spacing w:after="0" w:line="259" w:lineRule="auto"/>
              <w:ind w:left="277" w:right="0" w:firstLine="0"/>
              <w:jc w:val="left"/>
            </w:pPr>
            <w:r>
              <w:rPr>
                <w:i/>
                <w:sz w:val="20"/>
                <w:vertAlign w:val="superscript"/>
              </w:rPr>
              <w:t>a</w:t>
            </w:r>
            <w:hyperlink r:id="rId57">
              <w:r>
                <w:rPr>
                  <w:color w:val="000099"/>
                  <w:sz w:val="15"/>
                </w:rPr>
                <w:t>https://dev.mysql.com/doc/connector-j/en/connector-j-master-slave-replication-connection.html</w:t>
              </w:r>
            </w:hyperlink>
          </w:p>
        </w:tc>
      </w:tr>
    </w:tbl>
    <w:p w14:paraId="587B2809" w14:textId="77777777" w:rsidR="00C06EAF" w:rsidRDefault="00C06EAF"/>
    <w:sectPr w:rsidR="00C06EAF">
      <w:headerReference w:type="even" r:id="rId58"/>
      <w:headerReference w:type="default" r:id="rId59"/>
      <w:headerReference w:type="first" r:id="rId60"/>
      <w:pgSz w:w="12240" w:h="15840"/>
      <w:pgMar w:top="1791" w:right="1426" w:bottom="1651" w:left="1440" w:header="1112" w:footer="720" w:gutter="0"/>
      <w:pgNumType w:start="8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E250A9" w14:textId="77777777" w:rsidR="00C06EAF" w:rsidRDefault="00C06EAF">
      <w:pPr>
        <w:spacing w:after="0" w:line="240" w:lineRule="auto"/>
      </w:pPr>
      <w:r>
        <w:separator/>
      </w:r>
    </w:p>
  </w:endnote>
  <w:endnote w:type="continuationSeparator" w:id="0">
    <w:p w14:paraId="20794979" w14:textId="77777777" w:rsidR="00C06EAF" w:rsidRDefault="00C06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544A6" w14:textId="77777777" w:rsidR="00C06EAF" w:rsidRDefault="00C06EAF">
      <w:pPr>
        <w:spacing w:after="0" w:line="259" w:lineRule="auto"/>
        <w:ind w:left="277" w:right="0" w:firstLine="0"/>
        <w:jc w:val="left"/>
      </w:pPr>
      <w:r>
        <w:separator/>
      </w:r>
    </w:p>
  </w:footnote>
  <w:footnote w:type="continuationSeparator" w:id="0">
    <w:p w14:paraId="303CA0B6" w14:textId="77777777" w:rsidR="00C06EAF" w:rsidRDefault="00C06EAF">
      <w:pPr>
        <w:spacing w:after="0" w:line="259" w:lineRule="auto"/>
        <w:ind w:left="277" w:right="0" w:firstLine="0"/>
        <w:jc w:val="left"/>
      </w:pPr>
      <w:r>
        <w:continuationSeparator/>
      </w:r>
    </w:p>
  </w:footnote>
  <w:footnote w:id="1">
    <w:p w14:paraId="6A36EA8E" w14:textId="77777777" w:rsidR="001B6146" w:rsidRDefault="00000000">
      <w:pPr>
        <w:pStyle w:val="footnotedescription"/>
      </w:pPr>
      <w:r>
        <w:rPr>
          <w:rStyle w:val="footnotemark"/>
        </w:rPr>
        <w:footnoteRef/>
      </w:r>
      <w:r>
        <w:t xml:space="preserve"> </w:t>
      </w:r>
      <w:hyperlink r:id="rId1">
        <w:r>
          <w:t>http://research.microsoft.com/apps/pubs/default.aspx?id=69541</w:t>
        </w:r>
      </w:hyperlink>
    </w:p>
  </w:footnote>
  <w:footnote w:id="2">
    <w:p w14:paraId="57D143F1" w14:textId="77777777" w:rsidR="001B6146" w:rsidRDefault="00000000">
      <w:pPr>
        <w:pStyle w:val="footnotedescription"/>
        <w:spacing w:line="246" w:lineRule="auto"/>
        <w:ind w:left="273" w:firstLine="4"/>
      </w:pPr>
      <w:r>
        <w:rPr>
          <w:rStyle w:val="footnotemark"/>
        </w:rPr>
        <w:footnoteRef/>
      </w:r>
      <w:r>
        <w:t xml:space="preserve"> </w:t>
      </w:r>
      <w:hyperlink r:id="rId2" w:anchor="getDefaultTransactionIsolation--">
        <w:r>
          <w:t>http://docs.oracle.com/javase/8/docs/api/java/sql/DatabaseMetaData.html#getDefaultTransactionIsolation-</w:t>
        </w:r>
      </w:hyperlink>
      <w:r>
        <w:rPr>
          <w:color w:val="000000"/>
          <w:sz w:val="20"/>
          <w:vertAlign w:val="superscript"/>
        </w:rPr>
        <w:t>6</w:t>
      </w:r>
      <w:hyperlink r:id="rId3" w:anchor="setTransactionIsolation-int-">
        <w:r>
          <w:t>http://docs.oracle.com/javase/8/docs/api/java/sql/Connection.html#setTransactionIsolation-int-</w:t>
        </w:r>
      </w:hyperlink>
    </w:p>
  </w:footnote>
  <w:footnote w:id="3">
    <w:p w14:paraId="12286625" w14:textId="77777777" w:rsidR="001B6146" w:rsidRDefault="00000000">
      <w:pPr>
        <w:pStyle w:val="footnotedescription"/>
        <w:ind w:left="288"/>
      </w:pPr>
      <w:r>
        <w:rPr>
          <w:rStyle w:val="footnotemark"/>
        </w:rPr>
        <w:footnoteRef/>
      </w:r>
      <w:r>
        <w:t xml:space="preserve"> </w:t>
      </w:r>
      <w:hyperlink r:id="rId4" w:anchor="setReadOnly(boolean)">
        <w:r>
          <w:t>http://docs.oracle.com/javase/8/docs/api/java/sql/Connection.html#setReadOnly%28boolean%29</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1EE70" w14:textId="77777777" w:rsidR="001B6146" w:rsidRDefault="00000000">
    <w:pPr>
      <w:tabs>
        <w:tab w:val="right" w:pos="9374"/>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84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F19B9" w14:textId="77777777" w:rsidR="001B6146" w:rsidRDefault="00000000">
    <w:pPr>
      <w:tabs>
        <w:tab w:val="right" w:pos="9374"/>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84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BCF7A" w14:textId="77777777" w:rsidR="001B6146" w:rsidRDefault="00000000">
    <w:pPr>
      <w:tabs>
        <w:tab w:val="right" w:pos="9374"/>
      </w:tabs>
      <w:spacing w:after="0" w:line="259" w:lineRule="auto"/>
      <w:ind w:left="0" w:right="0" w:firstLine="0"/>
      <w:jc w:val="left"/>
    </w:pPr>
    <w:r>
      <w:rPr>
        <w:sz w:val="18"/>
      </w:rPr>
      <w:t>Transactions</w:t>
    </w:r>
    <w:r>
      <w:rPr>
        <w:sz w:val="18"/>
      </w:rPr>
      <w:tab/>
    </w:r>
    <w:r>
      <w:fldChar w:fldCharType="begin"/>
    </w:r>
    <w:r>
      <w:instrText xml:space="preserve"> PAGE   \* MERGEFORMAT </w:instrText>
    </w:r>
    <w:r>
      <w:fldChar w:fldCharType="separate"/>
    </w:r>
    <w:r>
      <w:t>84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94DF3"/>
    <w:multiLevelType w:val="hybridMultilevel"/>
    <w:tmpl w:val="45A63D88"/>
    <w:lvl w:ilvl="0" w:tplc="18083434">
      <w:start w:val="1"/>
      <w:numFmt w:val="bullet"/>
      <w:lvlText w:val="•"/>
      <w:lvlJc w:val="left"/>
      <w:pPr>
        <w:ind w:left="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723FB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BCFA08">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E244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BAF264">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EA9F56">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7426B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E8917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980F6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B45464"/>
    <w:multiLevelType w:val="hybridMultilevel"/>
    <w:tmpl w:val="ADAE9F1A"/>
    <w:lvl w:ilvl="0" w:tplc="3164467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4613F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565B9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92F52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20043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C5380">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981CA6">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867838">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5ADD9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D331BB2"/>
    <w:multiLevelType w:val="hybridMultilevel"/>
    <w:tmpl w:val="439ACC38"/>
    <w:lvl w:ilvl="0" w:tplc="17A4341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A2B13A">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CA771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94C58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0908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92D03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32F10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6ED9E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9E68F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36284C"/>
    <w:multiLevelType w:val="hybridMultilevel"/>
    <w:tmpl w:val="3E70DFB0"/>
    <w:lvl w:ilvl="0" w:tplc="1E2CF07C">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2558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0E0C7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60659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68225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FE96E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60748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769BA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DA1F3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21992657">
    <w:abstractNumId w:val="0"/>
  </w:num>
  <w:num w:numId="2" w16cid:durableId="214973045">
    <w:abstractNumId w:val="1"/>
  </w:num>
  <w:num w:numId="3" w16cid:durableId="823740570">
    <w:abstractNumId w:val="3"/>
  </w:num>
  <w:num w:numId="4" w16cid:durableId="227494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46"/>
    <w:rsid w:val="00083A14"/>
    <w:rsid w:val="001B6146"/>
    <w:rsid w:val="003A2BAC"/>
    <w:rsid w:val="00C06EA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33D5"/>
  <w15:docId w15:val="{5DC2C49D-BDF2-42FC-8CE3-976C4E09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52" w:lineRule="auto"/>
      <w:ind w:left="10" w:right="13"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3" w:space="0" w:color="646464"/>
        <w:left w:val="single" w:sz="3" w:space="0" w:color="646464"/>
        <w:bottom w:val="single" w:sz="3" w:space="0" w:color="646464"/>
        <w:right w:val="single" w:sz="3" w:space="0" w:color="646464"/>
      </w:pBdr>
      <w:shd w:val="clear" w:color="auto" w:fill="F0F0F0"/>
      <w:spacing w:after="0" w:line="259" w:lineRule="auto"/>
      <w:ind w:left="576"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174" w:line="265"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spacing w:after="241" w:line="259" w:lineRule="auto"/>
      <w:ind w:left="10" w:right="14"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2"/>
    </w:rPr>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1Char">
    <w:name w:val="Heading 1 Char"/>
    <w:link w:val="Heading1"/>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ev.mysql.com/doc/refman/5.7/en/set-transaction.html" TargetMode="External"/><Relationship Id="rId26" Type="http://schemas.openxmlformats.org/officeDocument/2006/relationships/image" Target="media/image7.png"/><Relationship Id="rId39" Type="http://schemas.openxmlformats.org/officeDocument/2006/relationships/hyperlink" Target="https://docs.oracle.com/database/121/JJDBC/apxtips.htm" TargetMode="External"/><Relationship Id="rId21" Type="http://schemas.openxmlformats.org/officeDocument/2006/relationships/hyperlink" Target="https://en.wikipedia.org/wiki/Snapshot_isolation" TargetMode="External"/><Relationship Id="rId34" Type="http://schemas.openxmlformats.org/officeDocument/2006/relationships/hyperlink" Target="http://dev.mysql.com/doc/refman/5.7/en/innodb-parameters.html" TargetMode="External"/><Relationship Id="rId42" Type="http://schemas.openxmlformats.org/officeDocument/2006/relationships/hyperlink" Target="https://msdn.microsoft.com/en-us/library/gg471494.aspx" TargetMode="External"/><Relationship Id="rId47" Type="http://schemas.openxmlformats.org/officeDocument/2006/relationships/hyperlink" Target="https://dev.mysql.com/doc/refman/5.7/en/innodb-performance-ro-txn.html" TargetMode="External"/><Relationship Id="rId50" Type="http://schemas.openxmlformats.org/officeDocument/2006/relationships/hyperlink" Target="http://www.oracle.com/technetwork/middleware/weblogic/learnmore/1534212" TargetMode="External"/><Relationship Id="rId55" Type="http://schemas.openxmlformats.org/officeDocument/2006/relationships/hyperlink" Target="https://jdbc.postgresql.org/documentation/head/connect.html" TargetMode="External"/><Relationship Id="rId7" Type="http://schemas.openxmlformats.org/officeDocument/2006/relationships/hyperlink" Target="http://research.microsoft.com/apps/pubs/default.aspx?id=69541" TargetMode="External"/><Relationship Id="rId2" Type="http://schemas.openxmlformats.org/officeDocument/2006/relationships/styles" Target="styles.xml"/><Relationship Id="rId16" Type="http://schemas.openxmlformats.org/officeDocument/2006/relationships/hyperlink" Target="http://docs.oracle.com/javase/8/docs/api/java/sql/Connection.html" TargetMode="External"/><Relationship Id="rId29" Type="http://schemas.openxmlformats.org/officeDocument/2006/relationships/hyperlink" Target="https://msdn.microsoft.com/en-us/library/dn449490.aspx" TargetMode="External"/><Relationship Id="rId11" Type="http://schemas.openxmlformats.org/officeDocument/2006/relationships/image" Target="media/image4.jpg"/><Relationship Id="rId24" Type="http://schemas.openxmlformats.org/officeDocument/2006/relationships/hyperlink" Target="https://docs.oracle.com/database/121/ADMIN/onlineredo.htm" TargetMode="External"/><Relationship Id="rId32" Type="http://schemas.openxmlformats.org/officeDocument/2006/relationships/hyperlink" Target="http://www.postgresql.org/docs/current/static/wal-intro.html" TargetMode="External"/><Relationship Id="rId37" Type="http://schemas.openxmlformats.org/officeDocument/2006/relationships/hyperlink" Target="http://dev.mysql.com/doc/refman/5.7/en/innodb-parameters.html" TargetMode="External"/><Relationship Id="rId40" Type="http://schemas.openxmlformats.org/officeDocument/2006/relationships/hyperlink" Target="https://docs.oracle.com/database/121/JJDBC/apxtips.htm" TargetMode="External"/><Relationship Id="rId45" Type="http://schemas.openxmlformats.org/officeDocument/2006/relationships/hyperlink" Target="http://arxiv.org/pdf/1208.4179.pdf" TargetMode="External"/><Relationship Id="rId53" Type="http://schemas.openxmlformats.org/officeDocument/2006/relationships/hyperlink" Target="http://www.oracle.com/technetwork/middleware/weblogic/learnmore/1534212"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ev.mysql.com/doc/refman/5.7/en/set-transaction.html" TargetMode="External"/><Relationship Id="rId14" Type="http://schemas.openxmlformats.org/officeDocument/2006/relationships/image" Target="media/image7.jpg"/><Relationship Id="rId22" Type="http://schemas.openxmlformats.org/officeDocument/2006/relationships/hyperlink" Target="http://drkp.net/papers/ssi-vldb12.pdf" TargetMode="External"/><Relationship Id="rId27" Type="http://schemas.openxmlformats.org/officeDocument/2006/relationships/hyperlink" Target="https://docs.oracle.com/database/121/ADMIN/onlineredo.htm" TargetMode="External"/><Relationship Id="rId30" Type="http://schemas.openxmlformats.org/officeDocument/2006/relationships/hyperlink" Target="http://www.postgresql.org/docs/current/static/wal-intro.html" TargetMode="External"/><Relationship Id="rId35" Type="http://schemas.openxmlformats.org/officeDocument/2006/relationships/hyperlink" Target="http://dev.mysql.com/doc/refman/5.7/en/innodb-parameters.html" TargetMode="External"/><Relationship Id="rId43" Type="http://schemas.openxmlformats.org/officeDocument/2006/relationships/hyperlink" Target="http://arxiv.org/pdf/1208.4179.pdf" TargetMode="External"/><Relationship Id="rId48" Type="http://schemas.openxmlformats.org/officeDocument/2006/relationships/hyperlink" Target="https://dev.mysql.com/doc/refman/5.7/en/innodb-performance-ro-txn.html" TargetMode="External"/><Relationship Id="rId56" Type="http://schemas.openxmlformats.org/officeDocument/2006/relationships/hyperlink" Target="https://dev.mysql.com/doc/connector-j/en/connector-j-master-slave-replication-connection.html" TargetMode="External"/><Relationship Id="rId8" Type="http://schemas.openxmlformats.org/officeDocument/2006/relationships/image" Target="media/image1.jpg"/><Relationship Id="rId51" Type="http://schemas.openxmlformats.org/officeDocument/2006/relationships/hyperlink" Target="http://www.oracle.com/technetwork/middleware/weblogic/learnmore/1534212" TargetMode="Externa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hyperlink" Target="https://docs.oracle.com/database/121/ADMIN/onlineredo.htm" TargetMode="External"/><Relationship Id="rId33" Type="http://schemas.openxmlformats.org/officeDocument/2006/relationships/hyperlink" Target="http://www.postgresql.org/docs/current/static/non-durability.html" TargetMode="External"/><Relationship Id="rId38" Type="http://schemas.openxmlformats.org/officeDocument/2006/relationships/hyperlink" Target="http://docs.oracle.com/javase/8/docs/api/java/sql/Connection.html" TargetMode="External"/><Relationship Id="rId46" Type="http://schemas.openxmlformats.org/officeDocument/2006/relationships/hyperlink" Target="http://arxiv.org/pdf/1208.4179.pdf" TargetMode="External"/><Relationship Id="rId59" Type="http://schemas.openxmlformats.org/officeDocument/2006/relationships/header" Target="header2.xml"/><Relationship Id="rId20" Type="http://schemas.openxmlformats.org/officeDocument/2006/relationships/hyperlink" Target="https://en.wikipedia.org/wiki/Snapshot_isolation" TargetMode="External"/><Relationship Id="rId41" Type="http://schemas.openxmlformats.org/officeDocument/2006/relationships/hyperlink" Target="https://msdn.microsoft.com/en-us/library/gg471494.aspx" TargetMode="External"/><Relationship Id="rId54" Type="http://schemas.openxmlformats.org/officeDocument/2006/relationships/hyperlink" Target="https://jdbc.postgresql.org/documentation/head/connect.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ocs.oracle.com/javase/8/docs/api/java/sql/DatabaseMetaData.html" TargetMode="External"/><Relationship Id="rId23" Type="http://schemas.openxmlformats.org/officeDocument/2006/relationships/hyperlink" Target="http://drkp.net/papers/ssi-vldb12.pdf" TargetMode="External"/><Relationship Id="rId28" Type="http://schemas.openxmlformats.org/officeDocument/2006/relationships/hyperlink" Target="https://msdn.microsoft.com/en-us/library/dn449490.aspx" TargetMode="External"/><Relationship Id="rId36" Type="http://schemas.openxmlformats.org/officeDocument/2006/relationships/hyperlink" Target="http://dev.mysql.com/doc/refman/5.7/en/innodb-parameters.html" TargetMode="External"/><Relationship Id="rId49" Type="http://schemas.openxmlformats.org/officeDocument/2006/relationships/hyperlink" Target="https://dev.mysql.com/doc/refman/5.7/en/innodb-performance-ro-txn.html" TargetMode="External"/><Relationship Id="rId57" Type="http://schemas.openxmlformats.org/officeDocument/2006/relationships/hyperlink" Target="https://dev.mysql.com/doc/connector-j/en/connector-j-master-slave-replication-connection.html" TargetMode="External"/><Relationship Id="rId10" Type="http://schemas.openxmlformats.org/officeDocument/2006/relationships/image" Target="media/image3.jpg"/><Relationship Id="rId31" Type="http://schemas.openxmlformats.org/officeDocument/2006/relationships/hyperlink" Target="http://www.postgresql.org/docs/current/static/non-durability.html" TargetMode="External"/><Relationship Id="rId44" Type="http://schemas.openxmlformats.org/officeDocument/2006/relationships/hyperlink" Target="http://arxiv.org/pdf/1208.4179.pdf" TargetMode="External"/><Relationship Id="rId52" Type="http://schemas.openxmlformats.org/officeDocument/2006/relationships/hyperlink" Target="http://www.oracle.com/technetwork/middleware/weblogic/learnmore/1534212"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3" Type="http://schemas.openxmlformats.org/officeDocument/2006/relationships/hyperlink" Target="http://docs.oracle.com/javase/8/docs/api/java/sql/Connection.html" TargetMode="External"/><Relationship Id="rId2" Type="http://schemas.openxmlformats.org/officeDocument/2006/relationships/hyperlink" Target="http://docs.oracle.com/javase/8/docs/api/java/sql/DatabaseMetaData.html" TargetMode="External"/><Relationship Id="rId1" Type="http://schemas.openxmlformats.org/officeDocument/2006/relationships/hyperlink" Target="http://research.microsoft.com/apps/pubs/default.aspx?id=69541" TargetMode="External"/><Relationship Id="rId4" Type="http://schemas.openxmlformats.org/officeDocument/2006/relationships/hyperlink" Target="http://docs.oracle.com/javase/8/docs/api/java/sql/Conn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5019</Words>
  <Characters>28610</Characters>
  <Application>Microsoft Office Word</Application>
  <DocSecurity>0</DocSecurity>
  <Lines>238</Lines>
  <Paragraphs>67</Paragraphs>
  <ScaleCrop>false</ScaleCrop>
  <Company/>
  <LinksUpToDate>false</LinksUpToDate>
  <CharactersWithSpaces>33562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2024-11-17T13:53:00Z</dcterms:created>
  <dcterms:modified xsi:type="dcterms:W3CDTF">2024-11-17T13:53:00Z</dcterms:modified>
</cp:coreProperties>
</file>