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522949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</w:t>
            </w:r>
            <w:r>
              <w:rPr>
                <w:sz w:val="28"/>
                <w:szCs w:val="28"/>
                <w:lang w:val="nl-NL"/>
              </w:rPr>
              <w:t>12</w:t>
            </w:r>
            <w:r w:rsidRPr="00A91B66">
              <w:rPr>
                <w:sz w:val="28"/>
                <w:szCs w:val="28"/>
                <w:lang w:val="nl-NL"/>
              </w:rPr>
              <w:t>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BA7E27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</w:t>
            </w:r>
            <w:r w:rsidR="00BA7E27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</w:t>
            </w:r>
            <w:r w:rsidR="00BA7E27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8F5119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BA7E27">
      <w:pPr>
        <w:pStyle w:val="Style1Paragraph"/>
      </w:pPr>
      <w:r w:rsidRPr="00A91B66"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="008B1766">
        <w:rPr>
          <w:noProof/>
          <w:sz w:val="28"/>
          <w:szCs w:val="28"/>
          <w:lang w:val="nl-NL"/>
        </w:rPr>
        <w:t xml:space="preserve">     </w:t>
      </w:r>
      <w:r w:rsidR="001A7A8C">
        <w:rPr>
          <w:sz w:val="28"/>
          <w:szCs w:val="28"/>
          <w:lang w:val="nl-NL"/>
        </w:rPr>
        <w:t xml:space="preserve">/BB-VPHC ngày 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</w:t>
      </w:r>
      <w:r w:rsidR="00BA7E27">
        <w:rPr>
          <w:sz w:val="28"/>
          <w:szCs w:val="28"/>
          <w:lang w:val="nl-NL"/>
        </w:rPr>
        <w:t xml:space="preserve"> </w:t>
      </w:r>
      <w:r w:rsidR="008B1766">
        <w:rPr>
          <w:sz w:val="28"/>
          <w:szCs w:val="28"/>
          <w:lang w:val="nl-NL"/>
        </w:rPr>
        <w:t xml:space="preserve">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  </w:t>
      </w:r>
      <w:r w:rsidRPr="00A91B66">
        <w:rPr>
          <w:sz w:val="28"/>
          <w:szCs w:val="28"/>
          <w:lang w:val="nl-NL"/>
        </w:rPr>
        <w:t xml:space="preserve"> của Đội THNVDT-KKKKT&amp;TH với </w:t>
      </w:r>
      <w:r>
        <w:rPr>
          <w:b/>
          <w:noProof/>
          <w:sz w:val="28"/>
          <w:szCs w:val="28"/>
          <w:lang w:val="nl-NL"/>
        </w:rPr>
        <w:t>Công Ty Cổ Phần Giáo Dục Mika Việt Nam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>
        <w:rPr>
          <w:b/>
          <w:noProof/>
          <w:sz w:val="28"/>
          <w:szCs w:val="28"/>
          <w:lang w:val="nl-NL"/>
        </w:rPr>
        <w:t>Công Ty Cổ Phần Giáo Dục Mika Việt Nam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8B1766" w:rsidP="00DC5860">
      <w:pPr>
        <w:pStyle w:val="Style1Paragraph"/>
        <w:ind w:firstLine="0"/>
      </w:pPr>
      <w:r>
        <w:rPr>
          <w:noProof/>
        </w:rPr>
        <w:t>Công Ty Cổ Phần Giáo Dục Mika Việt Nam</w:t>
      </w:r>
    </w:p>
    <w:p w:rsidR="00EC6CEC" w:rsidRPr="00A91B66" w:rsidRDefault="00EC6CEC" w:rsidP="00DC5860">
      <w:pPr>
        <w:pStyle w:val="Style1Paragraph"/>
        <w:ind w:firstLine="0"/>
      </w:pPr>
      <w:r w:rsidRPr="00A91B66">
        <w:t xml:space="preserve">Địa chỉ: </w:t>
      </w:r>
      <w:r>
        <w:rPr>
          <w:noProof/>
        </w:rPr>
        <w:t>Số 24, ngách 16, ngõ 105 đường Hồ Tùng Mậu</w:t>
      </w:r>
      <w:r w:rsidRPr="00A91B66">
        <w:rPr>
          <w:lang w:val="vi-VN"/>
        </w:rPr>
        <w:t>.</w:t>
      </w:r>
    </w:p>
    <w:p w:rsidR="00EC6CEC" w:rsidRPr="00A91B66" w:rsidRDefault="00EC6CEC" w:rsidP="00DC5860">
      <w:pPr>
        <w:pStyle w:val="Style1Paragraph"/>
        <w:ind w:firstLine="0"/>
      </w:pPr>
      <w:r w:rsidRPr="00A91B66">
        <w:t xml:space="preserve">Mã số thuế: </w:t>
      </w:r>
      <w:r>
        <w:rPr>
          <w:noProof/>
        </w:rPr>
        <w:t>0106491414</w:t>
      </w:r>
    </w:p>
    <w:p w:rsidR="00EC6CEC" w:rsidRPr="00A91B66" w:rsidRDefault="00EC6CEC" w:rsidP="00DC5860">
      <w:pPr>
        <w:pStyle w:val="Style1Paragraph"/>
        <w:ind w:firstLine="0"/>
      </w:pPr>
      <w:r w:rsidRPr="00A91B66">
        <w:t>Với các hình thức sau:</w:t>
      </w:r>
    </w:p>
    <w:p w:rsidR="00EC6CEC" w:rsidRPr="00A91B66" w:rsidRDefault="00EC6CEC" w:rsidP="00BA7E27">
      <w:pPr>
        <w:pStyle w:val="Style1Paragraph"/>
      </w:pPr>
      <w:r w:rsidRPr="00A91B66">
        <w:t>Hình thức xử phạt: bằng tiền</w:t>
      </w:r>
    </w:p>
    <w:p w:rsidR="00EC6CEC" w:rsidRPr="001A7A8C" w:rsidRDefault="00EC6CEC" w:rsidP="00BA7E27">
      <w:pPr>
        <w:pStyle w:val="Style1Paragraph"/>
        <w:rPr>
          <w:b/>
        </w:rPr>
      </w:pPr>
      <w:r w:rsidRPr="00A91B66">
        <w:rPr>
          <w:lang w:val="vi-VN"/>
        </w:rPr>
        <w:t xml:space="preserve">Mức phạt: </w:t>
      </w:r>
      <w:r>
        <w:rPr>
          <w:b/>
          <w:noProof/>
        </w:rPr>
        <w:t>10,700,000</w:t>
      </w:r>
      <w:r w:rsidRPr="001A7A8C">
        <w:t xml:space="preserve"> </w:t>
      </w:r>
      <w:r w:rsidRPr="00A91B66">
        <w:rPr>
          <w:lang w:val="vi-VN"/>
        </w:rPr>
        <w:t>đồ</w:t>
      </w:r>
      <w:r w:rsidRPr="001A7A8C">
        <w:t>ng</w:t>
      </w:r>
    </w:p>
    <w:p w:rsidR="00EC6CEC" w:rsidRPr="00A91B66" w:rsidRDefault="00EC6CEC" w:rsidP="00BA7E27">
      <w:pPr>
        <w:pStyle w:val="Style1Paragraph"/>
        <w:rPr>
          <w:b/>
          <w:lang w:val="vi-VN"/>
        </w:rPr>
      </w:pPr>
      <w:r w:rsidRPr="00A91B66">
        <w:rPr>
          <w:lang w:val="vi-VN"/>
        </w:rPr>
        <w:t>(</w:t>
      </w:r>
      <w:r w:rsidRPr="001A7A8C">
        <w:t xml:space="preserve">Viết bằng chữ: </w:t>
      </w:r>
      <w:r w:rsidR="00C16741">
        <w:t>[[</w:t>
      </w:r>
      <w:r w:rsidR="00BA7E27">
        <w:t>Tien_Bang_Chu</w:t>
      </w:r>
      <w:r w:rsidR="00C16741">
        <w:t>]]</w:t>
      </w:r>
      <w:r w:rsidRPr="001A7A8C">
        <w:t>.</w:t>
      </w:r>
      <w:r w:rsidRPr="00A91B66">
        <w:rPr>
          <w:lang w:val="vi-VN"/>
        </w:rPr>
        <w:t>)</w:t>
      </w:r>
    </w:p>
    <w:p w:rsidR="00EC6CEC" w:rsidRPr="001A7A8C" w:rsidRDefault="00EC6CEC" w:rsidP="00BA7E27">
      <w:pPr>
        <w:pStyle w:val="Style1Paragraph"/>
      </w:pPr>
      <w:r w:rsidRPr="00A91B66">
        <w:t>Cụ thể</w:t>
      </w:r>
      <w:r w:rsidRPr="001A7A8C">
        <w:t>:</w:t>
      </w:r>
    </w:p>
    <w:p w:rsidR="00EC6CEC" w:rsidRPr="00A91B66" w:rsidRDefault="00465678" w:rsidP="00DC5860">
      <w:pPr>
        <w:pStyle w:val="Style1Paragraph"/>
        <w:rPr>
          <w:lang w:val="vi-VN"/>
        </w:rPr>
      </w:pPr>
      <w:r>
        <w:t xml:space="preserve">- Mức phạt 4,200,000 tiểu mục 4254: vì đã có hành vi nộp chậm kê khai thuế 01/GTGT Quý 2 năm 2015. Hành vi trên đã vi phạm vào khoản 6 điều 7 của Nghị định số 129/2013/NĐ-CP ngày 16 tháng 10 năm 2013 của Chính phủ quy định về xử lý vi phạm pháp luật về thuế và cưỡng chế thi hành quyết định hành chính thuế. </w:t>
      </w:r>
      <w:r>
        <w:br/>
      </w:r>
      <w:r>
        <w:t xml:space="preserve">- Mức phạt 3,500,000 tiểu mục 4254: vì đã có hành vi nộp chậm kê khai thuế 01/GTGT Quý 1 năm 2015. Hành vi trên đã vi phạm vào khoản 6 điều 7 của Nghị định số 129/2013/NĐ-CP ngày 16 tháng 10 năm 2013 của Chính phủ quy định về xử lý vi phạm pháp luật về thuế và cưỡng chế thi hành quyết định hành chính thuế. </w:t>
      </w:r>
      <w:r>
        <w:br/>
      </w:r>
      <w:r w:rsidR="00EC6CEC" w:rsidRPr="00A91B66">
        <w:rPr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</w:p>
    <w:p w:rsidR="00EC6CEC" w:rsidRPr="00A91B66" w:rsidRDefault="00EC6CEC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Giáo Dục Mika Việt Nam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ngày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="008F5119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tháng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</w:t>
      </w:r>
      <w:r w:rsidR="008F5119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</w:p>
    <w:p w:rsidR="00EC6CEC" w:rsidRPr="00A91B66" w:rsidRDefault="00EC6CEC" w:rsidP="008F5119">
      <w:pPr>
        <w:pStyle w:val="Style1Paragraph"/>
        <w:rPr>
          <w:bCs/>
          <w:iCs/>
        </w:rPr>
      </w:pPr>
      <w:r w:rsidRPr="00A91B66">
        <w:lastRenderedPageBreak/>
        <w:t xml:space="preserve">Quá thời hạn này, nếu </w:t>
      </w:r>
      <w:r>
        <w:rPr>
          <w:b/>
          <w:noProof/>
        </w:rPr>
        <w:t>Công Ty Cổ Phần Giáo Dục Mika Việt Nam</w:t>
      </w:r>
      <w:r w:rsidRPr="00A91B66"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8F5119">
      <w:pPr>
        <w:pStyle w:val="Style1Paragraph"/>
      </w:pPr>
      <w:r w:rsidRPr="00A91B66">
        <w:t>Số tiền phạt quy định tại Điều 1 phải nộp vào tài khoản số: 7111.105.4743 của Kho bạc Nhà nước quận Cầu Giấy (Số 99 Trần Đăng Ninh)</w:t>
      </w:r>
      <w:r w:rsidRPr="001A7A8C">
        <w:t>,</w:t>
      </w:r>
      <w:r w:rsidRPr="00A91B66"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C16741" w:rsidP="008F5119">
      <w:pPr>
        <w:pStyle w:val="Style1Paragraph"/>
        <w:rPr>
          <w:b/>
          <w:bCs/>
          <w:iCs/>
        </w:rPr>
      </w:pPr>
      <w:bookmarkStart w:id="0" w:name="_GoBack"/>
      <w:bookmarkEnd w:id="0"/>
      <w:r>
        <w:rPr>
          <w:b/>
          <w:noProof/>
        </w:rPr>
        <w:t>Công Ty Cổ Phần Giáo Dục Mika Việt Nam</w:t>
      </w:r>
      <w:r w:rsidR="00EC6CEC" w:rsidRPr="001A7A8C">
        <w:rPr>
          <w:b/>
          <w:noProof/>
        </w:rPr>
        <w:t xml:space="preserve"> </w:t>
      </w:r>
      <w:r w:rsidR="00EC6CEC" w:rsidRPr="00A91B66">
        <w:t xml:space="preserve">có quyền khiếu nại, 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CA630C8"/>
    <w:multiLevelType w:val="hybridMultilevel"/>
    <w:tmpl w:val="3F8C6DB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063105"/>
    <w:rsid w:val="00121F2E"/>
    <w:rsid w:val="001A7A8C"/>
    <w:rsid w:val="001F09E5"/>
    <w:rsid w:val="002061ED"/>
    <w:rsid w:val="002960F2"/>
    <w:rsid w:val="00303B12"/>
    <w:rsid w:val="00311246"/>
    <w:rsid w:val="0041657A"/>
    <w:rsid w:val="00465678"/>
    <w:rsid w:val="00503555"/>
    <w:rsid w:val="00522949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1766"/>
    <w:rsid w:val="008B432F"/>
    <w:rsid w:val="008F5119"/>
    <w:rsid w:val="00A37E94"/>
    <w:rsid w:val="00A42D79"/>
    <w:rsid w:val="00A44138"/>
    <w:rsid w:val="00A91B66"/>
    <w:rsid w:val="00AB5672"/>
    <w:rsid w:val="00BA2A75"/>
    <w:rsid w:val="00BA7E27"/>
    <w:rsid w:val="00C15902"/>
    <w:rsid w:val="00C16741"/>
    <w:rsid w:val="00D34D02"/>
    <w:rsid w:val="00DC5860"/>
    <w:rsid w:val="00DE1445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2A07E2FC"/>
  <w15:docId w15:val="{73EB4C9D-DE08-436A-8CAF-9441BB8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  <w:style w:type="paragraph" w:customStyle="1" w:styleId="Style1Paragraph">
    <w:name w:val="Style1Paragraph"/>
    <w:basedOn w:val="Normal"/>
    <w:link w:val="Style1ParagraphChar"/>
    <w:qFormat/>
    <w:rsid w:val="00BA7E27"/>
    <w:pPr>
      <w:spacing w:line="264" w:lineRule="auto"/>
      <w:ind w:firstLine="720"/>
      <w:jc w:val="both"/>
    </w:pPr>
    <w:rPr>
      <w:sz w:val="28"/>
      <w:szCs w:val="28"/>
      <w:lang w:val="nl-NL"/>
    </w:rPr>
  </w:style>
  <w:style w:type="character" w:customStyle="1" w:styleId="Style1ParagraphChar">
    <w:name w:val="Style1Paragraph Char"/>
    <w:basedOn w:val="DefaultParagraphFont"/>
    <w:link w:val="Style1Paragraph"/>
    <w:rsid w:val="00BA7E27"/>
    <w:rPr>
      <w:rFonts w:ascii="Times New Roman" w:eastAsia="Times New Roman" w:hAnsi="Times New Roman" w:cs="Times New Roman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AFB65-5009-4F7A-A459-B20172ED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Hoan Vu</cp:lastModifiedBy>
  <cp:revision>19</cp:revision>
  <cp:lastPrinted>2017-09-06T03:59:00Z</cp:lastPrinted>
  <dcterms:created xsi:type="dcterms:W3CDTF">2017-07-26T04:38:00Z</dcterms:created>
  <dcterms:modified xsi:type="dcterms:W3CDTF">2017-10-16T05:04:00Z</dcterms:modified>
</cp:coreProperties>
</file>