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72"/>
        </w:rPr>
        <w:t>Argus</w:t>
      </w:r>
    </w:p>
    <w:p>
      <w:pPr>
        <w:jc w:val="center"/>
      </w:pPr>
      <w:r>
        <w:rPr>
          <w:i/>
          <w:sz w:val="36"/>
        </w:rPr>
        <w:t>Federated AI Cybersecurity Intelligence Platform</w:t>
      </w:r>
    </w:p>
    <w:p/>
    <w:p>
      <w:pPr>
        <w:jc w:val="center"/>
      </w:pPr>
      <w:r>
        <w:rPr>
          <w:color w:val="464646"/>
          <w:sz w:val="28"/>
        </w:rPr>
        <w:t>The All-Seeing Guardian for Sovereign Data Security</w:t>
      </w:r>
    </w:p>
    <w:p/>
    <w:p/>
    <w:p>
      <w:pPr>
        <w:jc w:val="center"/>
      </w:pPr>
      <w:r>
        <w:rPr>
          <w:i/>
          <w:color w:val="646464"/>
        </w:rPr>
        <w:t>E-Group Strategic Product Pitch</w:t>
        <w:br/>
        <w:t>November 2025</w:t>
      </w:r>
    </w:p>
    <w:p>
      <w:r>
        <w:br w:type="page"/>
      </w:r>
    </w:p>
    <w:p>
      <w:pPr>
        <w:pStyle w:val="Heading1"/>
      </w:pPr>
      <w:r>
        <w:t>Executive Summary</w:t>
      </w:r>
    </w:p>
    <w:p>
      <w:r>
        <w:t xml:space="preserve">Cybersecurity breaches cost the global economy €8.4 trillion annually, yet organizations lack effective ways to learn from each other's attacks without compromising sensitive security data. </w:t>
      </w:r>
      <w:r>
        <w:rPr>
          <w:b/>
        </w:rPr>
        <w:t>Argus solves this through federated AI</w:t>
      </w:r>
      <w:r>
        <w:t xml:space="preserve"> - enabling organizations to collectively learn from cyber threats while keeping all security data sovereign and private.</w:t>
      </w:r>
    </w:p>
    <w:p>
      <w:r>
        <w:t>Built on E-Group's proven FedX federated learning platform and MyD identity infrastructure, Argus creates a distributed threat intelligence network where attack patterns are learned locally but intelligence is shared globally. Organizations benefit from collective defense without surrendering control of their security data.</w:t>
      </w:r>
    </w:p>
    <w:p>
      <w:pPr>
        <w:pStyle w:val="Heading2"/>
      </w:pPr>
      <w:r>
        <w:t>The Market Opportunity</w:t>
      </w:r>
    </w:p>
    <w:p>
      <w:r>
        <w:rPr>
          <w:b/>
        </w:rPr>
        <w:t xml:space="preserve">Addressable Market: </w:t>
      </w:r>
      <w:r>
        <w:t>€42 billion globally (€15B EU, €18B US, €9B Asia)</w:t>
        <w:br/>
      </w:r>
      <w:r>
        <w:rPr>
          <w:b/>
        </w:rPr>
        <w:t xml:space="preserve">3-Year Revenue Potential: </w:t>
      </w:r>
      <w:r>
        <w:t>€85-150M ARR across all regions</w:t>
        <w:br/>
      </w:r>
      <w:r>
        <w:rPr>
          <w:b/>
        </w:rPr>
        <w:t xml:space="preserve">Target Customers: </w:t>
      </w:r>
      <w:r>
        <w:t>15,000+ mid-market to enterprise organizations (healthcare, financial services, critical infrastructure)</w:t>
        <w:br/>
      </w:r>
      <w:r>
        <w:rPr>
          <w:b/>
        </w:rPr>
        <w:t xml:space="preserve">Regulatory Drivers: </w:t>
      </w:r>
      <w:r>
        <w:t>NIS2 Directive, DORA, GDPR create mandatory compliance requirements</w:t>
      </w:r>
    </w:p>
    <w:p>
      <w:pPr>
        <w:pStyle w:val="Heading2"/>
      </w:pPr>
      <w:r>
        <w:t>Why E-Group Wins</w:t>
      </w:r>
    </w:p>
    <w:p>
      <w:pPr>
        <w:pStyle w:val="ListBullet"/>
      </w:pPr>
      <w:r>
        <w:t>Federated architecture solves GDPR Article 44-50 cross-border data transfer restrictions</w:t>
      </w:r>
    </w:p>
    <w:p>
      <w:pPr>
        <w:pStyle w:val="ListBullet"/>
      </w:pPr>
      <w:r>
        <w:t>Existing EU consortium memberships (DOME, IPCEI-CIS, EWC) provide enterprise access</w:t>
      </w:r>
    </w:p>
    <w:p>
      <w:pPr>
        <w:pStyle w:val="ListBullet"/>
      </w:pPr>
      <w:r>
        <w:t>Proven FedX platform already deployed in production healthcare environments</w:t>
      </w:r>
    </w:p>
    <w:p>
      <w:pPr>
        <w:pStyle w:val="ListBullet"/>
      </w:pPr>
      <w:r>
        <w:t>MyD Wallet eIDAS 2.0 certification enables trusted identity verification</w:t>
      </w:r>
    </w:p>
    <w:p>
      <w:pPr>
        <w:pStyle w:val="ListBullet"/>
      </w:pPr>
      <w:r>
        <w:t>Sovereign data positioning aligns with EU regulatory priorities</w:t>
      </w:r>
    </w:p>
    <w:p>
      <w:r>
        <w:br w:type="page"/>
      </w:r>
    </w:p>
    <w:p>
      <w:pPr>
        <w:pStyle w:val="Heading1"/>
      </w:pPr>
      <w:r>
        <w:t>The Problem: Threat Intelligence Is Fundamentally Broken</w:t>
      </w:r>
    </w:p>
    <w:p>
      <w:pPr>
        <w:pStyle w:val="Heading2"/>
      </w:pPr>
      <w:r>
        <w:t>Centralized Models Create Impossible Choices</w:t>
      </w:r>
    </w:p>
    <w:p>
      <w:pPr>
        <w:pStyle w:val="ListBullet"/>
      </w:pPr>
      <w:r>
        <w:t>Organizations must surrender all security logs to centralized vendors (CrowdStrike, Palo Alto, Microsoft) who aggregate and resell insights</w:t>
      </w:r>
    </w:p>
    <w:p>
      <w:pPr>
        <w:pStyle w:val="ListBullet"/>
      </w:pPr>
      <w:r>
        <w:t>SMBs cannot afford commercial threat intelligence platforms (€50K-500K annually per organization)</w:t>
      </w:r>
    </w:p>
    <w:p>
      <w:pPr>
        <w:pStyle w:val="ListBullet"/>
      </w:pPr>
      <w:r>
        <w:t>GDPR Article 44-50 makes cross-border security data transfer legally problematic for EU organizations</w:t>
      </w:r>
    </w:p>
    <w:p>
      <w:pPr>
        <w:pStyle w:val="ListBullet"/>
      </w:pPr>
      <w:r>
        <w:t>Companies refuse to share breach data due to legal liability, reputation damage, and competitive intelligence exposure</w:t>
      </w:r>
    </w:p>
    <w:p>
      <w:pPr>
        <w:pStyle w:val="ListBullet"/>
      </w:pPr>
      <w:r>
        <w:t>Each organization gets attacked in isolation - no collective learning occurs even when same exploit hits hundreds of targets</w:t>
      </w:r>
    </w:p>
    <w:p>
      <w:pPr>
        <w:pStyle w:val="Heading2"/>
      </w:pPr>
      <w:r>
        <w:t>The Economic Cost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Cost/Impact</w:t>
            </w:r>
          </w:p>
        </w:tc>
      </w:tr>
      <w:tr>
        <w:tc>
          <w:tcPr>
            <w:tcW w:type="dxa" w:w="4320"/>
          </w:tcPr>
          <w:p>
            <w:r>
              <w:t>Global cybercrime cost (2024)</w:t>
            </w:r>
          </w:p>
        </w:tc>
        <w:tc>
          <w:tcPr>
            <w:tcW w:type="dxa" w:w="4320"/>
          </w:tcPr>
          <w:p>
            <w:r>
              <w:t>€8.4 trillion annually</w:t>
            </w:r>
          </w:p>
        </w:tc>
      </w:tr>
      <w:tr>
        <w:tc>
          <w:tcPr>
            <w:tcW w:type="dxa" w:w="4320"/>
          </w:tcPr>
          <w:p>
            <w:r>
              <w:t>Average data breach cost</w:t>
            </w:r>
          </w:p>
        </w:tc>
        <w:tc>
          <w:tcPr>
            <w:tcW w:type="dxa" w:w="4320"/>
          </w:tcPr>
          <w:p>
            <w:r>
              <w:t>€4.45M per incident</w:t>
            </w:r>
          </w:p>
        </w:tc>
      </w:tr>
      <w:tr>
        <w:tc>
          <w:tcPr>
            <w:tcW w:type="dxa" w:w="4320"/>
          </w:tcPr>
          <w:p>
            <w:r>
              <w:t>EU-specific breach cost</w:t>
            </w:r>
          </w:p>
        </w:tc>
        <w:tc>
          <w:tcPr>
            <w:tcW w:type="dxa" w:w="4320"/>
          </w:tcPr>
          <w:p>
            <w:r>
              <w:t>€4.88M (10% higher than global average)</w:t>
            </w:r>
          </w:p>
        </w:tc>
      </w:tr>
      <w:tr>
        <w:tc>
          <w:tcPr>
            <w:tcW w:type="dxa" w:w="4320"/>
          </w:tcPr>
          <w:p>
            <w:r>
              <w:t>Healthcare sector breach cost</w:t>
            </w:r>
          </w:p>
        </w:tc>
        <w:tc>
          <w:tcPr>
            <w:tcW w:type="dxa" w:w="4320"/>
          </w:tcPr>
          <w:p>
            <w:r>
              <w:t>€10.93M per incident (highest sector)</w:t>
            </w:r>
          </w:p>
        </w:tc>
      </w:tr>
      <w:tr>
        <w:tc>
          <w:tcPr>
            <w:tcW w:type="dxa" w:w="4320"/>
          </w:tcPr>
          <w:p>
            <w:r>
              <w:t>Financial services breach cost</w:t>
            </w:r>
          </w:p>
        </w:tc>
        <w:tc>
          <w:tcPr>
            <w:tcW w:type="dxa" w:w="4320"/>
          </w:tcPr>
          <w:p>
            <w:r>
              <w:t>€5.9M per incident</w:t>
            </w:r>
          </w:p>
        </w:tc>
      </w:tr>
      <w:tr>
        <w:tc>
          <w:tcPr>
            <w:tcW w:type="dxa" w:w="4320"/>
          </w:tcPr>
          <w:p>
            <w:r>
              <w:t>Ransomware attack frequency</w:t>
            </w:r>
          </w:p>
        </w:tc>
        <w:tc>
          <w:tcPr>
            <w:tcW w:type="dxa" w:w="4320"/>
          </w:tcPr>
          <w:p>
            <w:r>
              <w:t>Every 11 seconds globally</w:t>
            </w:r>
          </w:p>
        </w:tc>
      </w:tr>
      <w:tr>
        <w:tc>
          <w:tcPr>
            <w:tcW w:type="dxa" w:w="4320"/>
          </w:tcPr>
          <w:p>
            <w:r>
              <w:t>Average ransomware payment</w:t>
            </w:r>
          </w:p>
        </w:tc>
        <w:tc>
          <w:tcPr>
            <w:tcW w:type="dxa" w:w="4320"/>
          </w:tcPr>
          <w:p>
            <w:r>
              <w:t>€1.54M (2024)</w:t>
            </w:r>
          </w:p>
        </w:tc>
      </w:tr>
      <w:tr>
        <w:tc>
          <w:tcPr>
            <w:tcW w:type="dxa" w:w="4320"/>
          </w:tcPr>
          <w:p>
            <w:r>
              <w:t>Business disruption cost</w:t>
            </w:r>
          </w:p>
        </w:tc>
        <w:tc>
          <w:tcPr>
            <w:tcW w:type="dxa" w:w="4320"/>
          </w:tcPr>
          <w:p>
            <w:r>
              <w:t>€1.42M per incident (beyond ransom)</w:t>
            </w:r>
          </w:p>
        </w:tc>
      </w:tr>
    </w:tbl>
    <w:p/>
    <w:p>
      <w:pPr>
        <w:pStyle w:val="Heading2"/>
      </w:pPr>
      <w:r>
        <w:t>Why Attackers Win: The Reuse Problem</w:t>
      </w:r>
    </w:p>
    <w:p>
      <w:r>
        <w:t>Ransomware groups and nation-state actors reuse identical exploits across 50-200 organizations because victim organizations cannot effectively warn each other. When Organization A gets breached, Organizations B through Z remain vulnerable to the exact same attack vector for weeks or months. The first victim pays the full learning cost; subsequent victims learn nothing from their pain.</w:t>
      </w:r>
    </w:p>
    <w:p>
      <w:r>
        <w:t>According to Verizon's 2024 Data Breach Investigations Report, 86% of breaches use attack techniques that were previously observed and documented elsewhere. The intelligence exists - but cannot be shared effectively.</w:t>
      </w:r>
    </w:p>
    <w:p>
      <w:r>
        <w:br w:type="page"/>
      </w:r>
    </w:p>
    <w:p>
      <w:pPr>
        <w:pStyle w:val="Heading1"/>
      </w:pPr>
      <w:r>
        <w:t>The Solution: Argus Federated Security Intelligence</w:t>
      </w:r>
    </w:p>
    <w:p>
      <w:pPr>
        <w:pStyle w:val="Heading2"/>
      </w:pPr>
      <w:r>
        <w:t>How Argus Works</w:t>
      </w:r>
    </w:p>
    <w:p>
      <w:r>
        <w:t>Argus deploys lightweight AI agents at each participating organization. These agents monitor network traffic, system logs, and security events locally. When suspicious patterns are detected, the agent learns from the incident and shares model updates (not raw data) with the Argus network.</w:t>
      </w:r>
    </w:p>
    <w:p>
      <w:r>
        <w:rPr>
          <w:b/>
        </w:rPr>
        <w:t>The Federated Learning Workflow:</w:t>
        <w:br/>
      </w:r>
    </w:p>
    <w:p>
      <w:pPr>
        <w:pStyle w:val="ListNumber"/>
      </w:pPr>
      <w:r>
        <w:t>1. Local Detection: Agent identifies anomalous behavior (unusual network traffic, unexpected file encryption, lateral movement patterns)</w:t>
      </w:r>
    </w:p>
    <w:p>
      <w:pPr>
        <w:pStyle w:val="ListNumber"/>
      </w:pPr>
      <w:r>
        <w:t>2. Local Learning: AI model trains on the attack patterns using only local data</w:t>
      </w:r>
    </w:p>
    <w:p>
      <w:pPr>
        <w:pStyle w:val="ListNumber"/>
      </w:pPr>
      <w:r>
        <w:t>3. Model Update: Agent generates encrypted model update (mathematical parameters, not raw logs)</w:t>
      </w:r>
    </w:p>
    <w:p>
      <w:pPr>
        <w:pStyle w:val="ListNumber"/>
      </w:pPr>
      <w:r>
        <w:t>4. Secure Aggregation: E-Group's FedX platform aggregates updates from multiple nodes using secure multi-party computation</w:t>
      </w:r>
    </w:p>
    <w:p>
      <w:pPr>
        <w:pStyle w:val="ListNumber"/>
      </w:pPr>
      <w:r>
        <w:t>5. Global Distribution: Updated global model pushed to all network participants</w:t>
      </w:r>
    </w:p>
    <w:p>
      <w:pPr>
        <w:pStyle w:val="ListNumber"/>
      </w:pPr>
      <w:r>
        <w:t>6. Local Application: Each organization's agent applies global intelligence to detect similar threats locally</w:t>
      </w:r>
    </w:p>
    <w:p>
      <w:pPr>
        <w:pStyle w:val="Heading2"/>
      </w:pPr>
      <w:r>
        <w:t>What Makes Argus Different</w:t>
      </w:r>
    </w:p>
    <w:p>
      <w:pPr>
        <w:pStyle w:val="ListBullet"/>
      </w:pPr>
      <w:r>
        <w:t>Zero data centralization - all security logs remain on customer premises</w:t>
      </w:r>
    </w:p>
    <w:p>
      <w:pPr>
        <w:pStyle w:val="ListBullet"/>
      </w:pPr>
      <w:r>
        <w:t>GDPR-compliant by design - no cross-border data transfer occurs</w:t>
      </w:r>
    </w:p>
    <w:p>
      <w:pPr>
        <w:pStyle w:val="ListBullet"/>
      </w:pPr>
      <w:r>
        <w:t>Collective learning - benefit from attacks on other organizations without seeing their data</w:t>
      </w:r>
    </w:p>
    <w:p>
      <w:pPr>
        <w:pStyle w:val="ListBullet"/>
      </w:pPr>
      <w:r>
        <w:t>Real-time threat detection - global model updates distributed within minutes of new threat discovery</w:t>
      </w:r>
    </w:p>
    <w:p>
      <w:pPr>
        <w:pStyle w:val="ListBullet"/>
      </w:pPr>
      <w:r>
        <w:t>Privacy-preserving - cryptographic guarantees prevent re-identification of attack victims</w:t>
      </w:r>
    </w:p>
    <w:p>
      <w:pPr>
        <w:pStyle w:val="ListBullet"/>
      </w:pPr>
      <w:r>
        <w:t>Industry-specific models - separate learning networks for healthcare, finance, manufacturing optimize detection accuracy</w:t>
      </w:r>
    </w:p>
    <w:p>
      <w:r>
        <w:br w:type="page"/>
      </w:r>
    </w:p>
    <w:p>
      <w:pPr>
        <w:pStyle w:val="Heading1"/>
      </w:pPr>
      <w:r>
        <w:t>E-Group Products Powering Argus</w:t>
      </w:r>
    </w:p>
    <w:p>
      <w:pPr>
        <w:pStyle w:val="Heading2"/>
      </w:pPr>
      <w:r>
        <w:t>Core Infrastructure Layer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E-Group Product</w:t>
            </w:r>
          </w:p>
        </w:tc>
        <w:tc>
          <w:tcPr>
            <w:tcW w:type="dxa" w:w="2880"/>
          </w:tcPr>
          <w:p>
            <w:r>
              <w:rPr>
                <w:b/>
              </w:rPr>
              <w:t>Role in Argus</w:t>
            </w:r>
          </w:p>
        </w:tc>
        <w:tc>
          <w:tcPr>
            <w:tcW w:type="dxa" w:w="2880"/>
          </w:tcPr>
          <w:p>
            <w:r>
              <w:rPr>
                <w:b/>
              </w:rPr>
              <w:t>Capability Provided</w:t>
            </w:r>
          </w:p>
        </w:tc>
      </w:tr>
      <w:tr>
        <w:tc>
          <w:tcPr>
            <w:tcW w:type="dxa" w:w="2880"/>
          </w:tcPr>
          <w:p>
            <w:r>
              <w:t>FedX</w:t>
            </w:r>
          </w:p>
        </w:tc>
        <w:tc>
          <w:tcPr>
            <w:tcW w:type="dxa" w:w="2880"/>
          </w:tcPr>
          <w:p>
            <w:r>
              <w:t>Federated Learning Engine</w:t>
            </w:r>
          </w:p>
        </w:tc>
        <w:tc>
          <w:tcPr>
            <w:tcW w:type="dxa" w:w="2880"/>
          </w:tcPr>
          <w:p>
            <w:r>
              <w:t>Enables training AI models across distributed nodes without centralizing data</w:t>
            </w:r>
          </w:p>
        </w:tc>
      </w:tr>
      <w:tr>
        <w:tc>
          <w:tcPr>
            <w:tcW w:type="dxa" w:w="2880"/>
          </w:tcPr>
          <w:p>
            <w:r>
              <w:t>MyD Wallet</w:t>
            </w:r>
          </w:p>
        </w:tc>
        <w:tc>
          <w:tcPr>
            <w:tcW w:type="dxa" w:w="2880"/>
          </w:tcPr>
          <w:p>
            <w:r>
              <w:t>Identity &amp; Authentication</w:t>
            </w:r>
          </w:p>
        </w:tc>
        <w:tc>
          <w:tcPr>
            <w:tcW w:type="dxa" w:w="2880"/>
          </w:tcPr>
          <w:p>
            <w:r>
              <w:t>eIDAS 2.0 compliant identity verification for all network participants</w:t>
            </w:r>
          </w:p>
        </w:tc>
      </w:tr>
      <w:tr>
        <w:tc>
          <w:tcPr>
            <w:tcW w:type="dxa" w:w="2880"/>
          </w:tcPr>
          <w:p>
            <w:r>
              <w:t>InnoHealth DataLake</w:t>
            </w:r>
          </w:p>
        </w:tc>
        <w:tc>
          <w:tcPr>
            <w:tcW w:type="dxa" w:w="2880"/>
          </w:tcPr>
          <w:p>
            <w:r>
              <w:t>Data Governance</w:t>
            </w:r>
          </w:p>
        </w:tc>
        <w:tc>
          <w:tcPr>
            <w:tcW w:type="dxa" w:w="2880"/>
          </w:tcPr>
          <w:p>
            <w:r>
              <w:t>Policy enforcement and audit trails for security data access</w:t>
            </w:r>
          </w:p>
        </w:tc>
      </w:tr>
      <w:tr>
        <w:tc>
          <w:tcPr>
            <w:tcW w:type="dxa" w:w="2880"/>
          </w:tcPr>
          <w:p>
            <w:r>
              <w:t>IOX</w:t>
            </w:r>
          </w:p>
        </w:tc>
        <w:tc>
          <w:tcPr>
            <w:tcW w:type="dxa" w:w="2880"/>
          </w:tcPr>
          <w:p>
            <w:r>
              <w:t>Secure Communication</w:t>
            </w:r>
          </w:p>
        </w:tc>
        <w:tc>
          <w:tcPr>
            <w:tcW w:type="dxa" w:w="2880"/>
          </w:tcPr>
          <w:p>
            <w:r>
              <w:t>Encrypted peer-to-peer communication between Argus nodes</w:t>
            </w:r>
          </w:p>
        </w:tc>
      </w:tr>
      <w:tr>
        <w:tc>
          <w:tcPr>
            <w:tcW w:type="dxa" w:w="2880"/>
          </w:tcPr>
          <w:p>
            <w:r>
              <w:t>reData.me</w:t>
            </w:r>
          </w:p>
        </w:tc>
        <w:tc>
          <w:tcPr>
            <w:tcW w:type="dxa" w:w="2880"/>
          </w:tcPr>
          <w:p>
            <w:r>
              <w:t>Data Sovereignty Controls</w:t>
            </w:r>
          </w:p>
        </w:tc>
        <w:tc>
          <w:tcPr>
            <w:tcW w:type="dxa" w:w="2880"/>
          </w:tcPr>
          <w:p>
            <w:r>
              <w:t>User-controlled data permissions and access logging</w:t>
            </w:r>
          </w:p>
        </w:tc>
      </w:tr>
    </w:tbl>
    <w:p/>
    <w:p>
      <w:pPr>
        <w:pStyle w:val="Heading2"/>
      </w:pPr>
      <w:r>
        <w:t>Technical Architecture</w:t>
      </w:r>
    </w:p>
    <w:p>
      <w:pPr>
        <w:pStyle w:val="ListBullet"/>
      </w:pPr>
      <w:r>
        <w:t>Edge Layer: Argus Security Agent (deployed at customer site)</w:t>
      </w:r>
    </w:p>
    <w:p>
      <w:pPr>
        <w:pStyle w:val="ListBullet"/>
      </w:pPr>
      <w:r>
        <w:t>Identity Layer: MyD Wallet authentication and node verification</w:t>
      </w:r>
    </w:p>
    <w:p>
      <w:pPr>
        <w:pStyle w:val="ListBullet"/>
      </w:pPr>
      <w:r>
        <w:t>Learning Layer: FedX federated AI training and model aggregation</w:t>
      </w:r>
    </w:p>
    <w:p>
      <w:pPr>
        <w:pStyle w:val="ListBullet"/>
      </w:pPr>
      <w:r>
        <w:t>Governance Layer: InnoHealth DataLake policy enforcement</w:t>
      </w:r>
    </w:p>
    <w:p>
      <w:pPr>
        <w:pStyle w:val="ListBullet"/>
      </w:pPr>
      <w:r>
        <w:t>Communication Layer: IOX encrypted model update distribution</w:t>
      </w:r>
    </w:p>
    <w:p>
      <w:pPr>
        <w:pStyle w:val="ListBullet"/>
      </w:pPr>
      <w:r>
        <w:t>Sovereignty Layer: reData.me user consent and control</w:t>
      </w:r>
    </w:p>
    <w:p>
      <w:r>
        <w:t>This integrated approach means Argus is not a standalone point solution - it is a comprehensive security intelligence platform built on E-Group's proven sovereign data infrastructure.</w:t>
      </w:r>
    </w:p>
    <w:p>
      <w:r>
        <w:br w:type="page"/>
      </w:r>
    </w:p>
    <w:p>
      <w:pPr>
        <w:pStyle w:val="Heading1"/>
      </w:pPr>
      <w:r>
        <w:t>Business Models &amp; Pricing</w:t>
      </w:r>
    </w:p>
    <w:p>
      <w:pPr>
        <w:pStyle w:val="Heading2"/>
      </w:pPr>
      <w:r>
        <w:t>Model 1: Subscription SaaS (Primary Revenue)</w:t>
      </w:r>
    </w:p>
    <w:p>
      <w:r>
        <w:t>Per-organization annual subscription based on company size and threat intelligence value received from network.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Customer Segment</w:t>
            </w:r>
          </w:p>
        </w:tc>
        <w:tc>
          <w:tcPr>
            <w:tcW w:type="dxa" w:w="2160"/>
          </w:tcPr>
          <w:p>
            <w:r>
              <w:rPr>
                <w:b/>
              </w:rPr>
              <w:t>Annual Price</w:t>
            </w:r>
          </w:p>
        </w:tc>
        <w:tc>
          <w:tcPr>
            <w:tcW w:type="dxa" w:w="2160"/>
          </w:tcPr>
          <w:p>
            <w:r>
              <w:rPr>
                <w:b/>
              </w:rPr>
              <w:t>Target Customers</w:t>
            </w:r>
          </w:p>
        </w:tc>
        <w:tc>
          <w:tcPr>
            <w:tcW w:type="dxa" w:w="2160"/>
          </w:tcPr>
          <w:p>
            <w:r>
              <w:rPr>
                <w:b/>
              </w:rPr>
              <w:t>Value Proposition</w:t>
            </w:r>
          </w:p>
        </w:tc>
      </w:tr>
      <w:tr>
        <w:tc>
          <w:tcPr>
            <w:tcW w:type="dxa" w:w="2160"/>
          </w:tcPr>
          <w:p>
            <w:r>
              <w:t>SMB (100-500 employees)</w:t>
            </w:r>
          </w:p>
        </w:tc>
        <w:tc>
          <w:tcPr>
            <w:tcW w:type="dxa" w:w="2160"/>
          </w:tcPr>
          <w:p>
            <w:r>
              <w:t>€15,000</w:t>
            </w:r>
          </w:p>
        </w:tc>
        <w:tc>
          <w:tcPr>
            <w:tcW w:type="dxa" w:w="2160"/>
          </w:tcPr>
          <w:p>
            <w:r>
              <w:t>Mid-market companies</w:t>
            </w:r>
          </w:p>
        </w:tc>
        <w:tc>
          <w:tcPr>
            <w:tcW w:type="dxa" w:w="2160"/>
          </w:tcPr>
          <w:p>
            <w:r>
              <w:t>Enterprise-grade threat intel at SMB price</w:t>
            </w:r>
          </w:p>
        </w:tc>
      </w:tr>
      <w:tr>
        <w:tc>
          <w:tcPr>
            <w:tcW w:type="dxa" w:w="2160"/>
          </w:tcPr>
          <w:p>
            <w:r>
              <w:t>Mid-Market (500-2,500)</w:t>
            </w:r>
          </w:p>
        </w:tc>
        <w:tc>
          <w:tcPr>
            <w:tcW w:type="dxa" w:w="2160"/>
          </w:tcPr>
          <w:p>
            <w:r>
              <w:t>€50,000</w:t>
            </w:r>
          </w:p>
        </w:tc>
        <w:tc>
          <w:tcPr>
            <w:tcW w:type="dxa" w:w="2160"/>
          </w:tcPr>
          <w:p>
            <w:r>
              <w:t>Regional enterprises</w:t>
            </w:r>
          </w:p>
        </w:tc>
        <w:tc>
          <w:tcPr>
            <w:tcW w:type="dxa" w:w="2160"/>
          </w:tcPr>
          <w:p>
            <w:r>
              <w:t>Industry-specific threat models</w:t>
            </w:r>
          </w:p>
        </w:tc>
      </w:tr>
      <w:tr>
        <w:tc>
          <w:tcPr>
            <w:tcW w:type="dxa" w:w="2160"/>
          </w:tcPr>
          <w:p>
            <w:r>
              <w:t>Enterprise (2,500-10K)</w:t>
            </w:r>
          </w:p>
        </w:tc>
        <w:tc>
          <w:tcPr>
            <w:tcW w:type="dxa" w:w="2160"/>
          </w:tcPr>
          <w:p>
            <w:r>
              <w:t>€150,000</w:t>
            </w:r>
          </w:p>
        </w:tc>
        <w:tc>
          <w:tcPr>
            <w:tcW w:type="dxa" w:w="2160"/>
          </w:tcPr>
          <w:p>
            <w:r>
              <w:t>Large corporations</w:t>
            </w:r>
          </w:p>
        </w:tc>
        <w:tc>
          <w:tcPr>
            <w:tcW w:type="dxa" w:w="2160"/>
          </w:tcPr>
          <w:p>
            <w:r>
              <w:t>Custom threat models + priority updates</w:t>
            </w:r>
          </w:p>
        </w:tc>
      </w:tr>
      <w:tr>
        <w:tc>
          <w:tcPr>
            <w:tcW w:type="dxa" w:w="2160"/>
          </w:tcPr>
          <w:p>
            <w:r>
              <w:t>Large Enterprise (10K+)</w:t>
            </w:r>
          </w:p>
        </w:tc>
        <w:tc>
          <w:tcPr>
            <w:tcW w:type="dxa" w:w="2160"/>
          </w:tcPr>
          <w:p>
            <w:r>
              <w:t>€350,000</w:t>
            </w:r>
          </w:p>
        </w:tc>
        <w:tc>
          <w:tcPr>
            <w:tcW w:type="dxa" w:w="2160"/>
          </w:tcPr>
          <w:p>
            <w:r>
              <w:t>Global multinationals</w:t>
            </w:r>
          </w:p>
        </w:tc>
        <w:tc>
          <w:tcPr>
            <w:tcW w:type="dxa" w:w="2160"/>
          </w:tcPr>
          <w:p>
            <w:r>
              <w:t>Dedicated support + custom integrations</w:t>
            </w:r>
          </w:p>
        </w:tc>
      </w:tr>
    </w:tbl>
    <w:p/>
    <w:p>
      <w:pPr>
        <w:pStyle w:val="Heading2"/>
      </w:pPr>
      <w:r>
        <w:t>Model 2: Government/Consortium Licensing</w:t>
      </w:r>
    </w:p>
    <w:p>
      <w:r>
        <w:t>National or sector-wide deployments where regulatory bodies mandate threat intelligence sharing (e.g., NIS2 compliance for critical infrastructure, DORA requirements for financial services).</w:t>
      </w:r>
    </w:p>
    <w:p>
      <w:r>
        <w:rPr>
          <w:b/>
        </w:rPr>
        <w:t xml:space="preserve">Pricing: </w:t>
      </w:r>
      <w:r>
        <w:t>€5-15M per country/sector implementation + €1-3M annual licensing</w:t>
        <w:br/>
      </w:r>
      <w:r>
        <w:rPr>
          <w:b/>
        </w:rPr>
        <w:t xml:space="preserve">Example: </w:t>
      </w:r>
      <w:r>
        <w:t>EU healthcare sector - 27 countries × €8M average = €216M TAM</w:t>
      </w:r>
    </w:p>
    <w:p>
      <w:pPr>
        <w:pStyle w:val="Heading2"/>
      </w:pPr>
      <w:r>
        <w:t>Model 3: Freemium Network Growth</w:t>
      </w:r>
    </w:p>
    <w:p>
      <w:r>
        <w:t>Free tier for SMBs (under 100 employees) with basic threat detection. Upgrades to paid tiers for advanced features (real-time updates, industry-specific models, API access, compliance reporting).</w:t>
      </w:r>
    </w:p>
    <w:p>
      <w:r>
        <w:rPr>
          <w:b/>
        </w:rPr>
        <w:t xml:space="preserve">Strategic Value: </w:t>
      </w:r>
      <w:r>
        <w:t>Rapid network growth creates stronger threat detection (more nodes = better learning). Free tier users contribute training data that improves paid tier value. Conversion rate target: 15-25% free to paid.</w:t>
      </w:r>
    </w:p>
    <w:p>
      <w:pPr>
        <w:pStyle w:val="Heading2"/>
      </w:pPr>
      <w:r>
        <w:t>Model 4: Managed Security Service Provider (MSSP) Licensing</w:t>
      </w:r>
    </w:p>
    <w:p>
      <w:r>
        <w:t>License Argus platform to MSSPs who deploy it for their client base. MSSPs pay per-client fee; E-Group provides the federated infrastructure.</w:t>
      </w:r>
    </w:p>
    <w:p>
      <w:r>
        <w:rPr>
          <w:b/>
        </w:rPr>
        <w:t xml:space="preserve">Pricing: </w:t>
      </w:r>
      <w:r>
        <w:t>€5,000 per client per year to MSSP</w:t>
        <w:br/>
      </w:r>
      <w:r>
        <w:rPr>
          <w:b/>
        </w:rPr>
        <w:t xml:space="preserve">MSSP Margin: </w:t>
      </w:r>
      <w:r>
        <w:t>MSSP charges clients €15-25K, keeps €10-20K margin</w:t>
        <w:br/>
      </w:r>
      <w:r>
        <w:rPr>
          <w:b/>
        </w:rPr>
        <w:t xml:space="preserve">Network Effect: </w:t>
      </w:r>
      <w:r>
        <w:t>One MSSP with 200 clients = immediate 200-node network</w:t>
      </w:r>
    </w:p>
    <w:p>
      <w:r>
        <w:br w:type="page"/>
      </w:r>
    </w:p>
    <w:p>
      <w:pPr>
        <w:pStyle w:val="Heading1"/>
      </w:pPr>
      <w:r>
        <w:t>Market Opportunity &amp; Financial Projections</w:t>
      </w:r>
    </w:p>
    <w:p>
      <w:pPr>
        <w:pStyle w:val="Heading2"/>
      </w:pPr>
      <w:r>
        <w:t>Total Addressable Market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Region</w:t>
            </w:r>
          </w:p>
        </w:tc>
        <w:tc>
          <w:tcPr>
            <w:tcW w:type="dxa" w:w="2160"/>
          </w:tcPr>
          <w:p>
            <w:r>
              <w:rPr>
                <w:b/>
              </w:rPr>
              <w:t>TAM (Annual)</w:t>
            </w:r>
          </w:p>
        </w:tc>
        <w:tc>
          <w:tcPr>
            <w:tcW w:type="dxa" w:w="2160"/>
          </w:tcPr>
          <w:p>
            <w:r>
              <w:rPr>
                <w:b/>
              </w:rPr>
              <w:t>Target Segments</w:t>
            </w:r>
          </w:p>
        </w:tc>
        <w:tc>
          <w:tcPr>
            <w:tcW w:type="dxa" w:w="2160"/>
          </w:tcPr>
          <w:p>
            <w:r>
              <w:rPr>
                <w:b/>
              </w:rPr>
              <w:t>Key Drivers</w:t>
            </w:r>
          </w:p>
        </w:tc>
      </w:tr>
      <w:tr>
        <w:tc>
          <w:tcPr>
            <w:tcW w:type="dxa" w:w="2160"/>
          </w:tcPr>
          <w:p>
            <w:r>
              <w:t>Europe</w:t>
            </w:r>
          </w:p>
        </w:tc>
        <w:tc>
          <w:tcPr>
            <w:tcW w:type="dxa" w:w="2160"/>
          </w:tcPr>
          <w:p>
            <w:r>
              <w:t>€15 billion</w:t>
            </w:r>
          </w:p>
        </w:tc>
        <w:tc>
          <w:tcPr>
            <w:tcW w:type="dxa" w:w="2160"/>
          </w:tcPr>
          <w:p>
            <w:r>
              <w:t>Healthcare, finance, critical infrastructure</w:t>
            </w:r>
          </w:p>
        </w:tc>
        <w:tc>
          <w:tcPr>
            <w:tcW w:type="dxa" w:w="2160"/>
          </w:tcPr>
          <w:p>
            <w:r>
              <w:t>NIS2, GDPR, DORA compliance mandates</w:t>
            </w:r>
          </w:p>
        </w:tc>
      </w:tr>
      <w:tr>
        <w:tc>
          <w:tcPr>
            <w:tcW w:type="dxa" w:w="2160"/>
          </w:tcPr>
          <w:p>
            <w:r>
              <w:t>United States</w:t>
            </w:r>
          </w:p>
        </w:tc>
        <w:tc>
          <w:tcPr>
            <w:tcW w:type="dxa" w:w="2160"/>
          </w:tcPr>
          <w:p>
            <w:r>
              <w:t>€18 billion</w:t>
            </w:r>
          </w:p>
        </w:tc>
        <w:tc>
          <w:tcPr>
            <w:tcW w:type="dxa" w:w="2160"/>
          </w:tcPr>
          <w:p>
            <w:r>
              <w:t>Fortune 2000, healthcare, finance</w:t>
            </w:r>
          </w:p>
        </w:tc>
        <w:tc>
          <w:tcPr>
            <w:tcW w:type="dxa" w:w="2160"/>
          </w:tcPr>
          <w:p>
            <w:r>
              <w:t>Cyber insurance requirements, SEC rules</w:t>
            </w:r>
          </w:p>
        </w:tc>
      </w:tr>
      <w:tr>
        <w:tc>
          <w:tcPr>
            <w:tcW w:type="dxa" w:w="2160"/>
          </w:tcPr>
          <w:p>
            <w:r>
              <w:t>Asia</w:t>
            </w:r>
          </w:p>
        </w:tc>
        <w:tc>
          <w:tcPr>
            <w:tcW w:type="dxa" w:w="2160"/>
          </w:tcPr>
          <w:p>
            <w:r>
              <w:t>€9 billion</w:t>
            </w:r>
          </w:p>
        </w:tc>
        <w:tc>
          <w:tcPr>
            <w:tcW w:type="dxa" w:w="2160"/>
          </w:tcPr>
          <w:p>
            <w:r>
              <w:t>Financial services, manufacturing, government</w:t>
            </w:r>
          </w:p>
        </w:tc>
        <w:tc>
          <w:tcPr>
            <w:tcW w:type="dxa" w:w="2160"/>
          </w:tcPr>
          <w:p>
            <w:r>
              <w:t>Data localization laws, regional cooperation</w:t>
            </w:r>
          </w:p>
        </w:tc>
      </w:tr>
      <w:tr>
        <w:tc>
          <w:tcPr>
            <w:tcW w:type="dxa" w:w="2160"/>
          </w:tcPr>
          <w:p>
            <w:r>
              <w:t>Total Global</w:t>
            </w:r>
          </w:p>
        </w:tc>
        <w:tc>
          <w:tcPr>
            <w:tcW w:type="dxa" w:w="2160"/>
          </w:tcPr>
          <w:p>
            <w:r>
              <w:t>€42 billion</w:t>
            </w:r>
          </w:p>
        </w:tc>
        <w:tc>
          <w:tcPr>
            <w:tcW w:type="dxa" w:w="2160"/>
          </w:tcPr>
          <w:p>
            <w:r>
              <w:t>15,000+ mid-market to enterprise</w:t>
            </w:r>
          </w:p>
        </w:tc>
        <w:tc>
          <w:tcPr>
            <w:tcW w:type="dxa" w:w="2160"/>
          </w:tcPr>
          <w:p>
            <w:r>
              <w:t>Regulatory convergence on data sovereignty</w:t>
            </w:r>
          </w:p>
        </w:tc>
      </w:tr>
    </w:tbl>
    <w:p/>
    <w:p>
      <w:pPr>
        <w:pStyle w:val="Heading2"/>
      </w:pPr>
      <w:r>
        <w:t>3-Year Revenue Projections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Year 1</w:t>
            </w:r>
          </w:p>
        </w:tc>
        <w:tc>
          <w:tcPr>
            <w:tcW w:type="dxa" w:w="2160"/>
          </w:tcPr>
          <w:p>
            <w:r>
              <w:rPr>
                <w:b/>
              </w:rPr>
              <w:t>Year 2</w:t>
            </w:r>
          </w:p>
        </w:tc>
        <w:tc>
          <w:tcPr>
            <w:tcW w:type="dxa" w:w="2160"/>
          </w:tcPr>
          <w:p>
            <w:r>
              <w:rPr>
                <w:b/>
              </w:rPr>
              <w:t>Year 3</w:t>
            </w:r>
          </w:p>
        </w:tc>
      </w:tr>
      <w:tr>
        <w:tc>
          <w:tcPr>
            <w:tcW w:type="dxa" w:w="2160"/>
          </w:tcPr>
          <w:p>
            <w:r>
              <w:t>Europe Customers</w:t>
            </w:r>
          </w:p>
        </w:tc>
        <w:tc>
          <w:tcPr>
            <w:tcW w:type="dxa" w:w="2160"/>
          </w:tcPr>
          <w:p>
            <w:r>
              <w:t>50</w:t>
            </w:r>
          </w:p>
        </w:tc>
        <w:tc>
          <w:tcPr>
            <w:tcW w:type="dxa" w:w="2160"/>
          </w:tcPr>
          <w:p>
            <w:r>
              <w:t>250</w:t>
            </w:r>
          </w:p>
        </w:tc>
        <w:tc>
          <w:tcPr>
            <w:tcW w:type="dxa" w:w="2160"/>
          </w:tcPr>
          <w:p>
            <w:r>
              <w:t>800</w:t>
            </w:r>
          </w:p>
        </w:tc>
      </w:tr>
      <w:tr>
        <w:tc>
          <w:tcPr>
            <w:tcW w:type="dxa" w:w="2160"/>
          </w:tcPr>
          <w:p>
            <w:r>
              <w:t>Europe ARR</w:t>
            </w:r>
          </w:p>
        </w:tc>
        <w:tc>
          <w:tcPr>
            <w:tcW w:type="dxa" w:w="2160"/>
          </w:tcPr>
          <w:p>
            <w:r>
              <w:t>€3.5M</w:t>
            </w:r>
          </w:p>
        </w:tc>
        <w:tc>
          <w:tcPr>
            <w:tcW w:type="dxa" w:w="2160"/>
          </w:tcPr>
          <w:p>
            <w:r>
              <w:t>€18M</w:t>
            </w:r>
          </w:p>
        </w:tc>
        <w:tc>
          <w:tcPr>
            <w:tcW w:type="dxa" w:w="2160"/>
          </w:tcPr>
          <w:p>
            <w:r>
              <w:t>€52M</w:t>
            </w:r>
          </w:p>
        </w:tc>
      </w:tr>
      <w:tr>
        <w:tc>
          <w:tcPr>
            <w:tcW w:type="dxa" w:w="2160"/>
          </w:tcPr>
          <w:p>
            <w:r>
              <w:t>US Customers</w:t>
            </w:r>
          </w:p>
        </w:tc>
        <w:tc>
          <w:tcPr>
            <w:tcW w:type="dxa" w:w="2160"/>
          </w:tcPr>
          <w:p>
            <w:r>
              <w:t>20</w:t>
            </w:r>
          </w:p>
        </w:tc>
        <w:tc>
          <w:tcPr>
            <w:tcW w:type="dxa" w:w="2160"/>
          </w:tcPr>
          <w:p>
            <w:r>
              <w:t>150</w:t>
            </w:r>
          </w:p>
        </w:tc>
        <w:tc>
          <w:tcPr>
            <w:tcW w:type="dxa" w:w="2160"/>
          </w:tcPr>
          <w:p>
            <w:r>
              <w:t>500</w:t>
            </w:r>
          </w:p>
        </w:tc>
      </w:tr>
      <w:tr>
        <w:tc>
          <w:tcPr>
            <w:tcW w:type="dxa" w:w="2160"/>
          </w:tcPr>
          <w:p>
            <w:r>
              <w:t>US ARR</w:t>
            </w:r>
          </w:p>
        </w:tc>
        <w:tc>
          <w:tcPr>
            <w:tcW w:type="dxa" w:w="2160"/>
          </w:tcPr>
          <w:p>
            <w:r>
              <w:t>€1.8M</w:t>
            </w:r>
          </w:p>
        </w:tc>
        <w:tc>
          <w:tcPr>
            <w:tcW w:type="dxa" w:w="2160"/>
          </w:tcPr>
          <w:p>
            <w:r>
              <w:t>€14M</w:t>
            </w:r>
          </w:p>
        </w:tc>
        <w:tc>
          <w:tcPr>
            <w:tcW w:type="dxa" w:w="2160"/>
          </w:tcPr>
          <w:p>
            <w:r>
              <w:t>€45M</w:t>
            </w:r>
          </w:p>
        </w:tc>
      </w:tr>
      <w:tr>
        <w:tc>
          <w:tcPr>
            <w:tcW w:type="dxa" w:w="2160"/>
          </w:tcPr>
          <w:p>
            <w:r>
              <w:t>Asia Customers</w:t>
            </w:r>
          </w:p>
        </w:tc>
        <w:tc>
          <w:tcPr>
            <w:tcW w:type="dxa" w:w="2160"/>
          </w:tcPr>
          <w:p>
            <w:r>
              <w:t>10</w:t>
            </w:r>
          </w:p>
        </w:tc>
        <w:tc>
          <w:tcPr>
            <w:tcW w:type="dxa" w:w="2160"/>
          </w:tcPr>
          <w:p>
            <w:r>
              <w:t>80</w:t>
            </w:r>
          </w:p>
        </w:tc>
        <w:tc>
          <w:tcPr>
            <w:tcW w:type="dxa" w:w="2160"/>
          </w:tcPr>
          <w:p>
            <w:r>
              <w:t>300</w:t>
            </w:r>
          </w:p>
        </w:tc>
      </w:tr>
      <w:tr>
        <w:tc>
          <w:tcPr>
            <w:tcW w:type="dxa" w:w="2160"/>
          </w:tcPr>
          <w:p>
            <w:r>
              <w:t>Asia ARR</w:t>
            </w:r>
          </w:p>
        </w:tc>
        <w:tc>
          <w:tcPr>
            <w:tcW w:type="dxa" w:w="2160"/>
          </w:tcPr>
          <w:p>
            <w:r>
              <w:t>€0.8M</w:t>
            </w:r>
          </w:p>
        </w:tc>
        <w:tc>
          <w:tcPr>
            <w:tcW w:type="dxa" w:w="2160"/>
          </w:tcPr>
          <w:p>
            <w:r>
              <w:t>€6M</w:t>
            </w:r>
          </w:p>
        </w:tc>
        <w:tc>
          <w:tcPr>
            <w:tcW w:type="dxa" w:w="2160"/>
          </w:tcPr>
          <w:p>
            <w:r>
              <w:t>€22M</w:t>
            </w:r>
          </w:p>
        </w:tc>
      </w:tr>
      <w:tr>
        <w:tc>
          <w:tcPr>
            <w:tcW w:type="dxa" w:w="2160"/>
          </w:tcPr>
          <w:p>
            <w:r>
              <w:t>Total Customers</w:t>
            </w:r>
          </w:p>
        </w:tc>
        <w:tc>
          <w:tcPr>
            <w:tcW w:type="dxa" w:w="2160"/>
          </w:tcPr>
          <w:p>
            <w:r>
              <w:t>80</w:t>
            </w:r>
          </w:p>
        </w:tc>
        <w:tc>
          <w:tcPr>
            <w:tcW w:type="dxa" w:w="2160"/>
          </w:tcPr>
          <w:p>
            <w:r>
              <w:t>480</w:t>
            </w:r>
          </w:p>
        </w:tc>
        <w:tc>
          <w:tcPr>
            <w:tcW w:type="dxa" w:w="2160"/>
          </w:tcPr>
          <w:p>
            <w:r>
              <w:t>1,600</w:t>
            </w:r>
          </w:p>
        </w:tc>
      </w:tr>
      <w:tr>
        <w:tc>
          <w:tcPr>
            <w:tcW w:type="dxa" w:w="2160"/>
          </w:tcPr>
          <w:p>
            <w:r>
              <w:t>Total ARR</w:t>
            </w:r>
          </w:p>
        </w:tc>
        <w:tc>
          <w:tcPr>
            <w:tcW w:type="dxa" w:w="2160"/>
          </w:tcPr>
          <w:p>
            <w:r>
              <w:t>€6.1M</w:t>
            </w:r>
          </w:p>
        </w:tc>
        <w:tc>
          <w:tcPr>
            <w:tcW w:type="dxa" w:w="2160"/>
          </w:tcPr>
          <w:p>
            <w:r>
              <w:t>€38M</w:t>
            </w:r>
          </w:p>
        </w:tc>
        <w:tc>
          <w:tcPr>
            <w:tcW w:type="dxa" w:w="2160"/>
          </w:tcPr>
          <w:p>
            <w:r>
              <w:t>€119M</w:t>
            </w:r>
          </w:p>
        </w:tc>
      </w:tr>
      <w:tr>
        <w:tc>
          <w:tcPr>
            <w:tcW w:type="dxa" w:w="2160"/>
          </w:tcPr>
          <w:p>
            <w:r>
              <w:t>Gross Margin</w:t>
            </w:r>
          </w:p>
        </w:tc>
        <w:tc>
          <w:tcPr>
            <w:tcW w:type="dxa" w:w="2160"/>
          </w:tcPr>
          <w:p>
            <w:r>
              <w:t>72%</w:t>
            </w:r>
          </w:p>
        </w:tc>
        <w:tc>
          <w:tcPr>
            <w:tcW w:type="dxa" w:w="2160"/>
          </w:tcPr>
          <w:p>
            <w:r>
              <w:t>78%</w:t>
            </w:r>
          </w:p>
        </w:tc>
        <w:tc>
          <w:tcPr>
            <w:tcW w:type="dxa" w:w="2160"/>
          </w:tcPr>
          <w:p>
            <w:r>
              <w:t>82%</w:t>
            </w:r>
          </w:p>
        </w:tc>
      </w:tr>
    </w:tbl>
    <w:p/>
    <w:p>
      <w:r>
        <w:rPr>
          <w:b/>
        </w:rPr>
        <w:t>Key Assumptions:</w:t>
        <w:br/>
      </w:r>
      <w:r>
        <w:t>• Average contract value: €70K across all segments</w:t>
        <w:br/>
        <w:t>• Customer acquisition cost: €25K Year 1, decreasing to €15K Year 3</w:t>
        <w:br/>
        <w:t>• Churn rate: 8% annually (industry standard for security platforms)</w:t>
        <w:br/>
        <w:t>• Network effects drive accelerating growth after 200-node threshold</w:t>
        <w:br/>
        <w:t>• Government/consortium deals provide 20-30% of revenue by Year 3</w:t>
      </w:r>
    </w:p>
    <w:p>
      <w:pPr>
        <w:pStyle w:val="Heading2"/>
      </w:pPr>
      <w:r>
        <w:t>Market Entry Strategy</w:t>
      </w:r>
    </w:p>
    <w:p>
      <w:pPr>
        <w:pStyle w:val="ListNumber"/>
      </w:pPr>
      <w:r>
        <w:t>Phase 1 (Months 1-6): EU Healthcare - Leverage existing University of Pécs and Semmelweis deployments</w:t>
      </w:r>
    </w:p>
    <w:p>
      <w:pPr>
        <w:pStyle w:val="ListNumber"/>
      </w:pPr>
      <w:r>
        <w:t>Phase 2 (Months 6-12): EU Financial Services - NIS2 and DORA create compliance mandates</w:t>
      </w:r>
    </w:p>
    <w:p>
      <w:pPr>
        <w:pStyle w:val="ListNumber"/>
      </w:pPr>
      <w:r>
        <w:t>Phase 3 (Year 2): US Market Entry - Partner with cyber insurance providers requiring federated threat intel</w:t>
      </w:r>
    </w:p>
    <w:p>
      <w:pPr>
        <w:pStyle w:val="ListNumber"/>
      </w:pPr>
      <w:r>
        <w:t>Phase 4 (Year 2-3): Asia Expansion - Focus on Japan, Singapore, South Korea (strong data localization laws)</w:t>
      </w:r>
    </w:p>
    <w:p>
      <w:r>
        <w:br w:type="page"/>
      </w:r>
    </w:p>
    <w:p>
      <w:pPr>
        <w:pStyle w:val="Heading1"/>
      </w:pPr>
      <w:r>
        <w:t>Competitive Advantage: Why E-Group Wins</w:t>
      </w:r>
    </w:p>
    <w:p>
      <w:pPr>
        <w:pStyle w:val="Heading2"/>
      </w:pPr>
      <w:r>
        <w:t>Comparison to Existing Solutions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Architecture</w:t>
            </w:r>
          </w:p>
        </w:tc>
        <w:tc>
          <w:tcPr>
            <w:tcW w:type="dxa" w:w="1728"/>
          </w:tcPr>
          <w:p>
            <w:r>
              <w:rPr>
                <w:b/>
              </w:rPr>
              <w:t>Data Location</w:t>
            </w:r>
          </w:p>
        </w:tc>
        <w:tc>
          <w:tcPr>
            <w:tcW w:type="dxa" w:w="1728"/>
          </w:tcPr>
          <w:p>
            <w:r>
              <w:rPr>
                <w:b/>
              </w:rPr>
              <w:t>GDPR Compliance</w:t>
            </w:r>
          </w:p>
        </w:tc>
        <w:tc>
          <w:tcPr>
            <w:tcW w:type="dxa" w:w="1728"/>
          </w:tcPr>
          <w:p>
            <w:r>
              <w:rPr>
                <w:b/>
              </w:rPr>
              <w:t>Cost</w:t>
            </w:r>
          </w:p>
        </w:tc>
      </w:tr>
      <w:tr>
        <w:tc>
          <w:tcPr>
            <w:tcW w:type="dxa" w:w="1728"/>
          </w:tcPr>
          <w:p>
            <w:r>
              <w:t>CrowdStrike Falcon</w:t>
            </w:r>
          </w:p>
        </w:tc>
        <w:tc>
          <w:tcPr>
            <w:tcW w:type="dxa" w:w="1728"/>
          </w:tcPr>
          <w:p>
            <w:r>
              <w:t>Centralized cloud</w:t>
            </w:r>
          </w:p>
        </w:tc>
        <w:tc>
          <w:tcPr>
            <w:tcW w:type="dxa" w:w="1728"/>
          </w:tcPr>
          <w:p>
            <w:r>
              <w:t>US-based</w:t>
            </w:r>
          </w:p>
        </w:tc>
        <w:tc>
          <w:tcPr>
            <w:tcW w:type="dxa" w:w="1728"/>
          </w:tcPr>
          <w:p>
            <w:r>
              <w:t>Challenging</w:t>
            </w:r>
          </w:p>
        </w:tc>
        <w:tc>
          <w:tcPr>
            <w:tcW w:type="dxa" w:w="1728"/>
          </w:tcPr>
          <w:p>
            <w:r>
              <w:t>€85K-250K/year</w:t>
            </w:r>
          </w:p>
        </w:tc>
      </w:tr>
      <w:tr>
        <w:tc>
          <w:tcPr>
            <w:tcW w:type="dxa" w:w="1728"/>
          </w:tcPr>
          <w:p>
            <w:r>
              <w:t>Palo Alto Cortex</w:t>
            </w:r>
          </w:p>
        </w:tc>
        <w:tc>
          <w:tcPr>
            <w:tcW w:type="dxa" w:w="1728"/>
          </w:tcPr>
          <w:p>
            <w:r>
              <w:t>Centralized cloud</w:t>
            </w:r>
          </w:p>
        </w:tc>
        <w:tc>
          <w:tcPr>
            <w:tcW w:type="dxa" w:w="1728"/>
          </w:tcPr>
          <w:p>
            <w:r>
              <w:t>Global (centralized)</w:t>
            </w:r>
          </w:p>
        </w:tc>
        <w:tc>
          <w:tcPr>
            <w:tcW w:type="dxa" w:w="1728"/>
          </w:tcPr>
          <w:p>
            <w:r>
              <w:t>Challenging</w:t>
            </w:r>
          </w:p>
        </w:tc>
        <w:tc>
          <w:tcPr>
            <w:tcW w:type="dxa" w:w="1728"/>
          </w:tcPr>
          <w:p>
            <w:r>
              <w:t>€100K-300K/year</w:t>
            </w:r>
          </w:p>
        </w:tc>
      </w:tr>
      <w:tr>
        <w:tc>
          <w:tcPr>
            <w:tcW w:type="dxa" w:w="1728"/>
          </w:tcPr>
          <w:p>
            <w:r>
              <w:t>Microsoft Defender</w:t>
            </w:r>
          </w:p>
        </w:tc>
        <w:tc>
          <w:tcPr>
            <w:tcW w:type="dxa" w:w="1728"/>
          </w:tcPr>
          <w:p>
            <w:r>
              <w:t>Centralized cloud</w:t>
            </w:r>
          </w:p>
        </w:tc>
        <w:tc>
          <w:tcPr>
            <w:tcW w:type="dxa" w:w="1728"/>
          </w:tcPr>
          <w:p>
            <w:r>
              <w:t>Azure regions</w:t>
            </w:r>
          </w:p>
        </w:tc>
        <w:tc>
          <w:tcPr>
            <w:tcW w:type="dxa" w:w="1728"/>
          </w:tcPr>
          <w:p>
            <w:r>
              <w:t>Adequate</w:t>
            </w:r>
          </w:p>
        </w:tc>
        <w:tc>
          <w:tcPr>
            <w:tcW w:type="dxa" w:w="1728"/>
          </w:tcPr>
          <w:p>
            <w:r>
              <w:t>€60K-180K/year</w:t>
            </w:r>
          </w:p>
        </w:tc>
      </w:tr>
      <w:tr>
        <w:tc>
          <w:tcPr>
            <w:tcW w:type="dxa" w:w="1728"/>
          </w:tcPr>
          <w:p>
            <w:r>
              <w:t>Recorded Future</w:t>
            </w:r>
          </w:p>
        </w:tc>
        <w:tc>
          <w:tcPr>
            <w:tcW w:type="dxa" w:w="1728"/>
          </w:tcPr>
          <w:p>
            <w:r>
              <w:t>Centralized cloud</w:t>
            </w:r>
          </w:p>
        </w:tc>
        <w:tc>
          <w:tcPr>
            <w:tcW w:type="dxa" w:w="1728"/>
          </w:tcPr>
          <w:p>
            <w:r>
              <w:t>US/EU split</w:t>
            </w:r>
          </w:p>
        </w:tc>
        <w:tc>
          <w:tcPr>
            <w:tcW w:type="dxa" w:w="1728"/>
          </w:tcPr>
          <w:p>
            <w:r>
              <w:t>Adequate</w:t>
            </w:r>
          </w:p>
        </w:tc>
        <w:tc>
          <w:tcPr>
            <w:tcW w:type="dxa" w:w="1728"/>
          </w:tcPr>
          <w:p>
            <w:r>
              <w:t>€75K-200K/year</w:t>
            </w:r>
          </w:p>
        </w:tc>
      </w:tr>
      <w:tr>
        <w:tc>
          <w:tcPr>
            <w:tcW w:type="dxa" w:w="1728"/>
          </w:tcPr>
          <w:p>
            <w:r>
              <w:t>Argus (E-Group)</w:t>
            </w:r>
          </w:p>
        </w:tc>
        <w:tc>
          <w:tcPr>
            <w:tcW w:type="dxa" w:w="1728"/>
          </w:tcPr>
          <w:p>
            <w:r>
              <w:t>Federated</w:t>
            </w:r>
          </w:p>
        </w:tc>
        <w:tc>
          <w:tcPr>
            <w:tcW w:type="dxa" w:w="1728"/>
          </w:tcPr>
          <w:p>
            <w:r>
              <w:t>Customer premises</w:t>
            </w:r>
          </w:p>
        </w:tc>
        <w:tc>
          <w:tcPr>
            <w:tcW w:type="dxa" w:w="1728"/>
          </w:tcPr>
          <w:p>
            <w:r>
              <w:t>By design</w:t>
            </w:r>
          </w:p>
        </w:tc>
        <w:tc>
          <w:tcPr>
            <w:tcW w:type="dxa" w:w="1728"/>
          </w:tcPr>
          <w:p>
            <w:r>
              <w:t>€15K-150K/year</w:t>
            </w:r>
          </w:p>
        </w:tc>
      </w:tr>
    </w:tbl>
    <w:p/>
    <w:p>
      <w:pPr>
        <w:pStyle w:val="Heading2"/>
      </w:pPr>
      <w:r>
        <w:t>E-Group's Unfair Advantages</w:t>
      </w:r>
    </w:p>
    <w:p>
      <w:r>
        <w:rPr>
          <w:b/>
        </w:rPr>
        <w:t xml:space="preserve">Regulatory Alignment: </w:t>
      </w:r>
      <w:r>
        <w:t>Argus is the only threat intelligence platform built specifically for post-GDPR, post-NIS2 regulatory environment. Centralized competitors face structural disadvantages.</w:t>
      </w:r>
    </w:p>
    <w:p>
      <w:r>
        <w:rPr>
          <w:b/>
        </w:rPr>
        <w:t xml:space="preserve">Existing EU Infrastructure: </w:t>
      </w:r>
      <w:r>
        <w:t>E-Group's DOME, IPCEI-CIS, and European Blockchain Services Infrastructure memberships provide direct access to government and enterprise decision-makers.</w:t>
      </w:r>
    </w:p>
    <w:p>
      <w:r>
        <w:rPr>
          <w:b/>
        </w:rPr>
        <w:t xml:space="preserve">Proven Federated Technology: </w:t>
      </w:r>
      <w:r>
        <w:t>FedX already deployed in production healthcare environments (University of Pécs, Semmelweis). Competitors building federated capabilities from scratch.</w:t>
      </w:r>
    </w:p>
    <w:p>
      <w:r>
        <w:rPr>
          <w:b/>
        </w:rPr>
        <w:t xml:space="preserve">eIDAS 2.0 Certification: </w:t>
      </w:r>
      <w:r>
        <w:t>MyD Wallet is first certified digital identity wallet under new EU regulations. Required for trustworthy federated security networks.</w:t>
      </w:r>
    </w:p>
    <w:p>
      <w:r>
        <w:rPr>
          <w:b/>
        </w:rPr>
        <w:t xml:space="preserve">Cost Structure: </w:t>
      </w:r>
      <w:r>
        <w:t>Federated architecture eliminates massive cloud infrastructure costs. Argus can profitably serve SMBs that centralized vendors ignore (60% of EU market).</w:t>
      </w:r>
    </w:p>
    <w:p>
      <w:r>
        <w:rPr>
          <w:b/>
        </w:rPr>
        <w:t xml:space="preserve">Network Effects: </w:t>
      </w:r>
      <w:r>
        <w:t>Each new Argus node improves threat detection for all participants. Creates exponential value growth and switching costs.</w:t>
      </w:r>
    </w:p>
    <w:p>
      <w:r>
        <w:br w:type="page"/>
      </w:r>
    </w:p>
    <w:p>
      <w:pPr>
        <w:pStyle w:val="Heading1"/>
      </w:pPr>
      <w:r>
        <w:t>Implementation Roadmap</w:t>
      </w:r>
    </w:p>
    <w:p>
      <w:pPr>
        <w:pStyle w:val="Heading2"/>
      </w:pPr>
      <w:r>
        <w:t>Phase 1: Foundation (Months 1-6)</w:t>
      </w:r>
    </w:p>
    <w:p>
      <w:pPr>
        <w:pStyle w:val="ListBullet"/>
      </w:pPr>
      <w:r>
        <w:t>Develop Argus Security Agent (lightweight edge deployment)</w:t>
      </w:r>
    </w:p>
    <w:p>
      <w:pPr>
        <w:pStyle w:val="ListBullet"/>
      </w:pPr>
      <w:r>
        <w:t>Integrate with FedX federated learning engine</w:t>
      </w:r>
    </w:p>
    <w:p>
      <w:pPr>
        <w:pStyle w:val="ListBullet"/>
      </w:pPr>
      <w:r>
        <w:t>Build secure model aggregation infrastructure</w:t>
      </w:r>
    </w:p>
    <w:p>
      <w:pPr>
        <w:pStyle w:val="ListBullet"/>
      </w:pPr>
      <w:r>
        <w:t>Deploy pilot network: 10 organizations (5 healthcare, 3 financial, 2 manufacturing)</w:t>
      </w:r>
    </w:p>
    <w:p>
      <w:pPr>
        <w:pStyle w:val="ListBullet"/>
      </w:pPr>
      <w:r>
        <w:t>Validate threat detection accuracy and false positive rates</w:t>
      </w:r>
    </w:p>
    <w:p>
      <w:pPr>
        <w:pStyle w:val="ListBullet"/>
      </w:pPr>
      <w:r>
        <w:t>Achieve first "save" - detect attack on Organization B using intel from Organization A</w:t>
      </w:r>
    </w:p>
    <w:p>
      <w:pPr>
        <w:pStyle w:val="Heading2"/>
      </w:pPr>
      <w:r>
        <w:t>Phase 2: Market Entry (Months 6-12)</w:t>
      </w:r>
    </w:p>
    <w:p>
      <w:pPr>
        <w:pStyle w:val="ListBullet"/>
      </w:pPr>
      <w:r>
        <w:t>Expand to 80 paying customers (target: 50 EU, 20 US, 10 Asia)</w:t>
      </w:r>
    </w:p>
    <w:p>
      <w:pPr>
        <w:pStyle w:val="ListBullet"/>
      </w:pPr>
      <w:r>
        <w:t>Launch industry-specific threat models (healthcare, finance, critical infrastructure)</w:t>
      </w:r>
    </w:p>
    <w:p>
      <w:pPr>
        <w:pStyle w:val="ListBullet"/>
      </w:pPr>
      <w:r>
        <w:t>Achieve 200-node network threshold (network effects activate)</w:t>
      </w:r>
    </w:p>
    <w:p>
      <w:pPr>
        <w:pStyle w:val="ListBullet"/>
      </w:pPr>
      <w:r>
        <w:t>Publish case study: "How Argus Stopped Ransomware Campaign Across 15 EU Organizations"</w:t>
      </w:r>
    </w:p>
    <w:p>
      <w:pPr>
        <w:pStyle w:val="ListBullet"/>
      </w:pPr>
      <w:r>
        <w:t>Establish MSSP partnership program (target: 5 MSSPs)</w:t>
      </w:r>
    </w:p>
    <w:p>
      <w:pPr>
        <w:pStyle w:val="ListBullet"/>
      </w:pPr>
      <w:r>
        <w:t>Revenue target: €6M ARR</w:t>
      </w:r>
    </w:p>
    <w:p>
      <w:pPr>
        <w:pStyle w:val="Heading2"/>
      </w:pPr>
      <w:r>
        <w:t>Phase 3: Scale (Year 2)</w:t>
      </w:r>
    </w:p>
    <w:p>
      <w:pPr>
        <w:pStyle w:val="ListBullet"/>
      </w:pPr>
      <w:r>
        <w:t>Expand to 480 customers across all regions</w:t>
      </w:r>
    </w:p>
    <w:p>
      <w:pPr>
        <w:pStyle w:val="ListBullet"/>
      </w:pPr>
      <w:r>
        <w:t>Launch government/consortium offering (target: 2-3 national deployments)</w:t>
      </w:r>
    </w:p>
    <w:p>
      <w:pPr>
        <w:pStyle w:val="ListBullet"/>
      </w:pPr>
      <w:r>
        <w:t>Build compliance certification ecosystem (NIS2, DORA, ISO 27001)</w:t>
      </w:r>
    </w:p>
    <w:p>
      <w:pPr>
        <w:pStyle w:val="ListBullet"/>
      </w:pPr>
      <w:r>
        <w:t>Integrate with major SIEM platforms (Splunk, Elastic, Microsoft Sentinel)</w:t>
      </w:r>
    </w:p>
    <w:p>
      <w:pPr>
        <w:pStyle w:val="ListBullet"/>
      </w:pPr>
      <w:r>
        <w:t>Revenue target: €38M ARR</w:t>
      </w:r>
    </w:p>
    <w:p>
      <w:pPr>
        <w:pStyle w:val="Heading2"/>
      </w:pPr>
      <w:r>
        <w:t>Phase 4: Dominance (Year 3)</w:t>
      </w:r>
    </w:p>
    <w:p>
      <w:pPr>
        <w:pStyle w:val="ListBullet"/>
      </w:pPr>
      <w:r>
        <w:t>Reach 1,600 customers - achieve category leadership in federated security</w:t>
      </w:r>
    </w:p>
    <w:p>
      <w:pPr>
        <w:pStyle w:val="ListBullet"/>
      </w:pPr>
      <w:r>
        <w:t>Launch Argus API platform (enable third-party security tools to leverage network)</w:t>
      </w:r>
    </w:p>
    <w:p>
      <w:pPr>
        <w:pStyle w:val="ListBullet"/>
      </w:pPr>
      <w:r>
        <w:t>Expand to 10+ industry-specific threat models</w:t>
      </w:r>
    </w:p>
    <w:p>
      <w:pPr>
        <w:pStyle w:val="ListBullet"/>
      </w:pPr>
      <w:r>
        <w:t>Achieve 5,000+ node network (irreplaceable threat intelligence infrastructure)</w:t>
      </w:r>
    </w:p>
    <w:p>
      <w:pPr>
        <w:pStyle w:val="ListBullet"/>
      </w:pPr>
      <w:r>
        <w:t>Revenue target: €119M ARR</w:t>
      </w:r>
    </w:p>
    <w:p>
      <w:pPr>
        <w:pStyle w:val="ListBullet"/>
      </w:pPr>
      <w:r>
        <w:t>Position for strategic exit or continued expansion (€500M+ valuation)</w:t>
      </w:r>
    </w:p>
    <w:p/>
    <w:p>
      <w:pPr>
        <w:pStyle w:val="Heading2"/>
      </w:pPr>
      <w:r>
        <w:t>Investment Required</w:t>
      </w:r>
    </w:p>
    <w:p>
      <w:r>
        <w:rPr>
          <w:b/>
        </w:rPr>
        <w:t xml:space="preserve">Year 1: </w:t>
      </w:r>
      <w:r>
        <w:t>€8M (product development, go-to-market, 25 headcount)</w:t>
        <w:br/>
      </w:r>
      <w:r>
        <w:rPr>
          <w:b/>
        </w:rPr>
        <w:t xml:space="preserve">Year 2: </w:t>
      </w:r>
      <w:r>
        <w:t>€18M (scale sales/marketing, expand engineering, 65 headcount)</w:t>
        <w:br/>
      </w:r>
      <w:r>
        <w:rPr>
          <w:b/>
        </w:rPr>
        <w:t xml:space="preserve">Year 3: </w:t>
      </w:r>
      <w:r>
        <w:t>€32M (global expansion, platform ecosystem, 120 headcount)</w:t>
        <w:br/>
      </w:r>
      <w:r>
        <w:rPr>
          <w:b/>
        </w:rPr>
        <w:t xml:space="preserve">Total 3-Year Investment: </w:t>
      </w:r>
      <w:r>
        <w:t>€58M</w:t>
      </w:r>
    </w:p>
    <w:p>
      <w:r>
        <w:br w:type="page"/>
      </w:r>
    </w:p>
    <w:p>
      <w:pPr>
        <w:pStyle w:val="Heading1"/>
      </w:pPr>
      <w:r>
        <w:t>Conclusion: The Argus Opportunity</w:t>
      </w:r>
    </w:p>
    <w:p>
      <w:r>
        <w:t>Cybersecurity spending is projected to reach €215 billion globally by 2028, yet current threat intelligence models are fundamentally broken. Centralized platforms create impossible tradeoffs between security effectiveness and data sovereignty. Federated AI eliminates this tradeoff.</w:t>
      </w:r>
    </w:p>
    <w:p>
      <w:r>
        <w:t>E-Group has the technical capability (FedX, MyD Wallet), market positioning (EU consortiums, sovereign data expertise), and regulatory timing (NIS2, DORA mandates) to dominate the emerging federated security intelligence category. Argus is not a feature - it is a platform that could define E-Group's next decade.</w:t>
      </w:r>
    </w:p>
    <w:p>
      <w:pPr>
        <w:pStyle w:val="Heading2"/>
      </w:pPr>
      <w:r>
        <w:t>Why Now</w:t>
      </w:r>
    </w:p>
    <w:p>
      <w:pPr>
        <w:pStyle w:val="ListBullet"/>
      </w:pPr>
      <w:r>
        <w:t>NIS2 Directive implementation (October 2024) mandates threat intelligence sharing for 18 critical sectors across EU</w:t>
      </w:r>
    </w:p>
    <w:p>
      <w:pPr>
        <w:pStyle w:val="ListBullet"/>
      </w:pPr>
      <w:r>
        <w:t>DORA regulations (January 2025) require financial institutions to share cyber threat data</w:t>
      </w:r>
    </w:p>
    <w:p>
      <w:pPr>
        <w:pStyle w:val="ListBullet"/>
      </w:pPr>
      <w:r>
        <w:t>Global cyber insurance market demanding verifiable threat detection capabilities (€20B market)</w:t>
      </w:r>
    </w:p>
    <w:p>
      <w:pPr>
        <w:pStyle w:val="ListBullet"/>
      </w:pPr>
      <w:r>
        <w:t>CrowdStrike outage (July 2024) exposed risks of centralized security infrastructure</w:t>
      </w:r>
    </w:p>
    <w:p>
      <w:pPr>
        <w:pStyle w:val="ListBullet"/>
      </w:pPr>
      <w:r>
        <w:t>GDPR enforcement increasing - €1.6B in fines in 2023 alone, cross-border data transfer under scrutiny</w:t>
      </w:r>
    </w:p>
    <w:p>
      <w:pPr>
        <w:pStyle w:val="ListBullet"/>
      </w:pPr>
      <w:r>
        <w:t>Gartner predicts federated learning for cybersecurity will be mainstream by 2027 - E-Group can lead</w:t>
      </w:r>
    </w:p>
    <w:p/>
    <w:p>
      <w:r>
        <w:t xml:space="preserve">The question is not whether federated security intelligence will replace centralized models. </w:t>
        <w:br/>
      </w:r>
      <w:r>
        <w:rPr>
          <w:b/>
        </w:rPr>
        <w:t>The question is: Will E-Group build the platform that defines the category?</w:t>
      </w:r>
    </w:p>
    <w:p/>
    <w:p/>
    <w:p>
      <w:r>
        <w:t>Argus represents a €119M ARR opportunity within 3 years, built on E-Group's proven technology and unfair competitive advantages. The market timing is perfect. The regulatory tailwinds are unprecedented. The technical foundation exists.</w:t>
      </w:r>
      <w:r>
        <w:rPr>
          <w:b/>
        </w:rPr>
        <w:br/>
        <w:br/>
        <w:t>The all-seeing guardian is ready. Are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