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Arial" w:cs="Arial" w:eastAsia="Arial" w:hAnsi="Arial"/>
          <w:b/>
          <w:bCs/>
          <w:color w:val="1A1A1A"/>
          <w:sz w:val="72"/>
          <w:szCs w:val="72"/>
        </w:rPr>
        <w:t xml:space="preserve">E-GROUP</w:t>
      </w:r>
    </w:p>
    <w:p>
      <w:pPr>
        <w:pBdr>
          <w:bottom w:val="single" w:color="C8A96E" w:sz="16" w:space="8"/>
        </w:pBdr>
        <w:spacing w:after="80" w:before="0"/>
      </w:pPr>
      <w:r>
        <w:rPr>
          <w:rFonts w:ascii="Arial" w:cs="Arial" w:eastAsia="Arial" w:hAnsi="Arial"/>
          <w:b w:val="false"/>
          <w:bCs w:val="false"/>
          <w:color w:val="555555"/>
          <w:sz w:val="40"/>
          <w:szCs w:val="40"/>
        </w:rPr>
        <w:t xml:space="preserve">Website Scope Document</w:t>
      </w:r>
    </w:p>
    <w:p>
      <w:pPr>
        <w:spacing w:after="0" w:before="160"/>
      </w:pPr>
    </w:p>
    <w:p>
      <w:pPr>
        <w:spacing w:after="60" w:before="80"/>
      </w:pPr>
      <w:r>
        <w:rPr>
          <w:rFonts w:ascii="Arial" w:cs="Arial" w:eastAsia="Arial" w:hAnsi="Arial"/>
          <w:i/>
          <w:iCs/>
          <w:color w:val="555555"/>
          <w:sz w:val="24"/>
          <w:szCs w:val="24"/>
        </w:rPr>
        <w:t xml:space="preserve">What it is. Why we built it this way. What we intend to achieve.</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20"/>
                <w:szCs w:val="20"/>
              </w:rPr>
              <w:t xml:space="preserve">Field</w:t>
            </w:r>
          </w:p>
        </w:tc>
        <w:tc>
          <w:tcPr>
            <w:tcW w:type="dxa" w:w="656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2800"/>
            <w:tcBorders>
              <w:top w:val="single" w:color="DDDDDD" w:sz="1"/>
              <w:left w:val="single" w:color="DDDDDD" w:sz="1"/>
              <w:bottom w:val="single" w:color="DDDDDD" w:sz="1"/>
              <w:right w:val="single" w:color="DDDDDD" w:sz="1"/>
            </w:tcBorders>
            <w:shd w:fill="F9F7F4" w:val="clear"/>
            <w:tcMar>
              <w:top w:type="dxa" w:w="100"/>
              <w:left w:type="dxa" w:w="160"/>
              <w:bottom w:type="dxa" w:w="100"/>
              <w:right w:type="dxa" w:w="160"/>
            </w:tcMar>
          </w:tcPr>
          <w:p>
            <w:r>
              <w:rPr>
                <w:rFonts w:ascii="Arial" w:cs="Arial" w:eastAsia="Arial" w:hAnsi="Arial"/>
                <w:b/>
                <w:bCs/>
                <w:color w:val="1A1A1A"/>
                <w:sz w:val="20"/>
                <w:szCs w:val="20"/>
              </w:rPr>
              <w:t xml:space="preserve">Client</w:t>
            </w:r>
          </w:p>
        </w:tc>
        <w:tc>
          <w:tcPr>
            <w:tcW w:type="dxa" w:w="6560"/>
            <w:tcBorders>
              <w:top w:val="single" w:color="DDDDDD" w:sz="1"/>
              <w:left w:val="single" w:color="DDDDDD" w:sz="1"/>
              <w:bottom w:val="single" w:color="DDDDDD" w:sz="1"/>
              <w:right w:val="single" w:color="DDDDDD" w:sz="1"/>
            </w:tcBorders>
            <w:shd w:fill="F9F7F4" w:val="clear"/>
            <w:tcMar>
              <w:top w:type="dxa" w:w="100"/>
              <w:left w:type="dxa" w:w="160"/>
              <w:bottom w:type="dxa" w:w="100"/>
              <w:right w:type="dxa" w:w="160"/>
            </w:tcMar>
          </w:tcPr>
          <w:p>
            <w:r>
              <w:rPr>
                <w:rFonts w:ascii="Arial" w:cs="Arial" w:eastAsia="Arial" w:hAnsi="Arial"/>
                <w:color w:val="1A1A1A"/>
                <w:sz w:val="20"/>
                <w:szCs w:val="20"/>
              </w:rPr>
              <w:t xml:space="preserve">E-Group ICT Software Zrt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1A1A"/>
                <w:sz w:val="20"/>
                <w:szCs w:val="20"/>
              </w:rPr>
              <w:t xml:space="preserve">CEO</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Antal Kuthy</w:t>
            </w:r>
          </w:p>
        </w:tc>
      </w:tr>
      <w:tr>
        <w:tc>
          <w:tcPr>
            <w:tcW w:type="dxa" w:w="2800"/>
            <w:tcBorders>
              <w:top w:val="single" w:color="DDDDDD" w:sz="1"/>
              <w:left w:val="single" w:color="DDDDDD" w:sz="1"/>
              <w:bottom w:val="single" w:color="DDDDDD" w:sz="1"/>
              <w:right w:val="single" w:color="DDDDDD" w:sz="1"/>
            </w:tcBorders>
            <w:shd w:fill="F9F7F4" w:val="clear"/>
            <w:tcMar>
              <w:top w:type="dxa" w:w="100"/>
              <w:left w:type="dxa" w:w="160"/>
              <w:bottom w:type="dxa" w:w="100"/>
              <w:right w:type="dxa" w:w="160"/>
            </w:tcMar>
          </w:tcPr>
          <w:p>
            <w:r>
              <w:rPr>
                <w:rFonts w:ascii="Arial" w:cs="Arial" w:eastAsia="Arial" w:hAnsi="Arial"/>
                <w:b/>
                <w:bCs/>
                <w:color w:val="1A1A1A"/>
                <w:sz w:val="20"/>
                <w:szCs w:val="20"/>
              </w:rPr>
              <w:t xml:space="preserve">Location</w:t>
            </w:r>
          </w:p>
        </w:tc>
        <w:tc>
          <w:tcPr>
            <w:tcW w:type="dxa" w:w="6560"/>
            <w:tcBorders>
              <w:top w:val="single" w:color="DDDDDD" w:sz="1"/>
              <w:left w:val="single" w:color="DDDDDD" w:sz="1"/>
              <w:bottom w:val="single" w:color="DDDDDD" w:sz="1"/>
              <w:right w:val="single" w:color="DDDDDD" w:sz="1"/>
            </w:tcBorders>
            <w:shd w:fill="F9F7F4" w:val="clear"/>
            <w:tcMar>
              <w:top w:type="dxa" w:w="100"/>
              <w:left w:type="dxa" w:w="160"/>
              <w:bottom w:type="dxa" w:w="100"/>
              <w:right w:type="dxa" w:w="160"/>
            </w:tcMar>
          </w:tcPr>
          <w:p>
            <w:r>
              <w:rPr>
                <w:rFonts w:ascii="Arial" w:cs="Arial" w:eastAsia="Arial" w:hAnsi="Arial"/>
                <w:color w:val="1A1A1A"/>
                <w:sz w:val="20"/>
                <w:szCs w:val="20"/>
              </w:rPr>
              <w:t xml:space="preserve">Budapest, Hungary</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1A1A"/>
                <w:sz w:val="20"/>
                <w:szCs w:val="20"/>
              </w:rPr>
              <w:t xml:space="preserve">Prepared by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Chris Hoar</w:t>
            </w:r>
          </w:p>
        </w:tc>
      </w:tr>
      <w:tr>
        <w:tc>
          <w:tcPr>
            <w:tcW w:type="dxa" w:w="2800"/>
            <w:tcBorders>
              <w:top w:val="single" w:color="DDDDDD" w:sz="1"/>
              <w:left w:val="single" w:color="DDDDDD" w:sz="1"/>
              <w:bottom w:val="single" w:color="DDDDDD" w:sz="1"/>
              <w:right w:val="single" w:color="DDDDDD" w:sz="1"/>
            </w:tcBorders>
            <w:shd w:fill="F9F7F4" w:val="clear"/>
            <w:tcMar>
              <w:top w:type="dxa" w:w="100"/>
              <w:left w:type="dxa" w:w="160"/>
              <w:bottom w:type="dxa" w:w="100"/>
              <w:right w:type="dxa" w:w="160"/>
            </w:tcMar>
          </w:tcPr>
          <w:p>
            <w:r>
              <w:rPr>
                <w:rFonts w:ascii="Arial" w:cs="Arial" w:eastAsia="Arial" w:hAnsi="Arial"/>
                <w:b/>
                <w:bCs/>
                <w:color w:val="1A1A1A"/>
                <w:sz w:val="20"/>
                <w:szCs w:val="20"/>
              </w:rPr>
              <w:t xml:space="preserve">Date</w:t>
            </w:r>
          </w:p>
        </w:tc>
        <w:tc>
          <w:tcPr>
            <w:tcW w:type="dxa" w:w="6560"/>
            <w:tcBorders>
              <w:top w:val="single" w:color="DDDDDD" w:sz="1"/>
              <w:left w:val="single" w:color="DDDDDD" w:sz="1"/>
              <w:bottom w:val="single" w:color="DDDDDD" w:sz="1"/>
              <w:right w:val="single" w:color="DDDDDD" w:sz="1"/>
            </w:tcBorders>
            <w:shd w:fill="F9F7F4" w:val="clear"/>
            <w:tcMar>
              <w:top w:type="dxa" w:w="100"/>
              <w:left w:type="dxa" w:w="160"/>
              <w:bottom w:type="dxa" w:w="100"/>
              <w:right w:type="dxa" w:w="160"/>
            </w:tcMar>
          </w:tcPr>
          <w:p>
            <w:r>
              <w:rPr>
                <w:rFonts w:ascii="Arial" w:cs="Arial" w:eastAsia="Arial" w:hAnsi="Arial"/>
                <w:color w:val="1A1A1A"/>
                <w:sz w:val="20"/>
                <w:szCs w:val="20"/>
              </w:rPr>
              <w:t xml:space="preserve">April 2026</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1A1A"/>
                <w:sz w:val="20"/>
                <w:szCs w:val="20"/>
              </w:rPr>
              <w:t xml:space="preserve">Version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Site Scope V1.0</w:t>
            </w:r>
          </w:p>
        </w:tc>
      </w:tr>
    </w:tbl>
    <w:p>
      <w:pPr>
        <w:spacing w:after="0" w:before="160"/>
      </w:pPr>
    </w:p>
    <w:p>
      <w:pPr>
        <w:pBdr>
          <w:bottom w:val="single" w:color="DDDDDD" w:sz="4" w:space="1"/>
        </w:pBdr>
        <w:spacing w:after="240" w:before="240"/>
      </w:pPr>
    </w:p>
    <w:p>
      <w:pPr>
        <w:pStyle w:val="Heading1"/>
        <w:pBdr>
          <w:bottom w:val="single" w:color="C8A96E" w:sz="8" w:space="6"/>
        </w:pBdr>
        <w:spacing w:after="120" w:before="480"/>
      </w:pPr>
      <w:r>
        <w:rPr>
          <w:rFonts w:ascii="Arial" w:cs="Arial" w:eastAsia="Arial" w:hAnsi="Arial"/>
          <w:b/>
          <w:bCs/>
          <w:color w:val="1A1A1A"/>
          <w:sz w:val="36"/>
          <w:szCs w:val="36"/>
        </w:rPr>
        <w:t xml:space="preserve">01 — Executive Summary</w:t>
      </w:r>
    </w:p>
    <w:p>
      <w:pPr>
        <w:spacing w:after="120" w:before="80"/>
      </w:pPr>
      <w:r>
        <w:rPr>
          <w:rFonts w:ascii="Arial" w:cs="Arial" w:eastAsia="Arial" w:hAnsi="Arial"/>
          <w:color w:val="1A1A1A"/>
          <w:sz w:val="22"/>
          <w:szCs w:val="22"/>
        </w:rPr>
        <w:t xml:space="preserve">E-Group ICT Software Zrt is a Budapest-based technology company with 30 years of institutional history building the deep infrastructure of digital trust, data sovereignty, and applied AI. With 110+ engineers and scientists, they have designed and operated national-scale systems — Hungary's national digital identity infrastructure, EU federated cloud initiatives, and back-to-back international medical AI victories.</w:t>
      </w:r>
    </w:p>
    <w:p>
      <w:pPr>
        <w:spacing w:after="0" w:before="80"/>
      </w:pPr>
    </w:p>
    <w:p>
      <w:pPr>
        <w:spacing w:after="120" w:before="80"/>
      </w:pPr>
      <w:r>
        <w:rPr>
          <w:rFonts w:ascii="Arial" w:cs="Arial" w:eastAsia="Arial" w:hAnsi="Arial"/>
          <w:color w:val="1A1A1A"/>
          <w:sz w:val="22"/>
          <w:szCs w:val="22"/>
        </w:rPr>
        <w:t xml:space="preserve">This website is the public face of that story — and of what comes next. It has been designed and built to accomplish three specific things simultaneously:</w:t>
      </w:r>
    </w:p>
    <w:p>
      <w:pPr>
        <w:spacing w:after="0" w:before="80"/>
      </w:pPr>
    </w:p>
    <w:p>
      <w:pPr>
        <w:pStyle w:val="ListParagraph"/>
        <w:numPr>
          <w:ilvl w:val="0"/>
          <w:numId w:val="2"/>
        </w:numPr>
        <w:spacing w:after="60" w:before="60"/>
      </w:pPr>
      <w:r>
        <w:rPr>
          <w:rFonts w:ascii="Arial" w:cs="Arial" w:eastAsia="Arial" w:hAnsi="Arial"/>
          <w:color w:val="1A1A1A"/>
          <w:sz w:val="22"/>
          <w:szCs w:val="22"/>
        </w:rPr>
        <w:t xml:space="preserve">Establish E-Group as a serious, credible player in the European AI infrastructure conversation — not a startup, not a vendor, but a 30-year institution entering a new phase.</w:t>
      </w:r>
    </w:p>
    <w:p>
      <w:pPr>
        <w:pStyle w:val="ListParagraph"/>
        <w:numPr>
          <w:ilvl w:val="0"/>
          <w:numId w:val="2"/>
        </w:numPr>
        <w:spacing w:after="60" w:before="60"/>
      </w:pPr>
      <w:r>
        <w:rPr>
          <w:rFonts w:ascii="Arial" w:cs="Arial" w:eastAsia="Arial" w:hAnsi="Arial"/>
          <w:color w:val="1A1A1A"/>
          <w:sz w:val="22"/>
          <w:szCs w:val="22"/>
        </w:rPr>
        <w:t xml:space="preserve">Position Rise — E-Group's dual-consciousness AI platform — as the most transparent, technically credible AI build in European enterprise software.</w:t>
      </w:r>
    </w:p>
    <w:p>
      <w:pPr>
        <w:pStyle w:val="ListParagraph"/>
        <w:numPr>
          <w:ilvl w:val="0"/>
          <w:numId w:val="2"/>
        </w:numPr>
        <w:spacing w:after="60" w:before="60"/>
      </w:pPr>
      <w:r>
        <w:rPr>
          <w:rFonts w:ascii="Arial" w:cs="Arial" w:eastAsia="Arial" w:hAnsi="Arial"/>
          <w:color w:val="1A1A1A"/>
          <w:sz w:val="22"/>
          <w:szCs w:val="22"/>
        </w:rPr>
        <w:t xml:space="preserve">Create the commercial foundation for E-Group to selectively take on enterprise partners and pilot customers across five sectors: FinTech, HealthTech, GovTech, SpaceTech, and EnergyTech.</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6E" w:sz="12"/>
              <w:left w:val="single" w:color="DDDDDD" w:sz="1"/>
              <w:bottom w:val="single" w:color="DDDDDD" w:sz="1"/>
              <w:right w:val="single" w:color="DDDDDD" w:sz="1"/>
            </w:tcBorders>
            <w:shd w:fill="F9F7F4" w:val="clear"/>
            <w:tcMar>
              <w:top w:type="dxa" w:w="160"/>
              <w:left w:type="dxa" w:w="240"/>
              <w:bottom w:type="dxa" w:w="160"/>
              <w:right w:type="dxa" w:w="240"/>
            </w:tcMar>
          </w:tcPr>
          <w:p>
            <w:pPr>
              <w:spacing w:after="60" w:before="60"/>
            </w:pPr>
            <w:r>
              <w:rPr>
                <w:rFonts w:ascii="Arial" w:cs="Arial" w:eastAsia="Arial" w:hAnsi="Arial"/>
                <w:i/>
                <w:iCs/>
                <w:color w:val="1A1A1A"/>
                <w:sz w:val="22"/>
                <w:szCs w:val="22"/>
              </w:rPr>
              <w:t xml:space="preserve">"We have been building the infrastructure others will need for decades. The world has finally caught up."</w:t>
            </w:r>
          </w:p>
          <w:p>
            <w:pPr>
              <w:spacing w:after="60" w:before="60"/>
            </w:pPr>
            <w:r>
              <w:rPr>
                <w:rFonts w:ascii="Arial" w:cs="Arial" w:eastAsia="Arial" w:hAnsi="Arial"/>
                <w:i w:val="false"/>
                <w:iCs w:val="false"/>
                <w:color w:val="1A1A1A"/>
                <w:sz w:val="22"/>
                <w:szCs w:val="22"/>
              </w:rPr>
              <w:t xml:space="preserve">— Antal Kuthy, Founder &amp; CEO, E-Group ICT Software Zrt</w:t>
            </w:r>
          </w:p>
        </w:tc>
      </w:tr>
    </w:tbl>
    <w:p>
      <w:pPr>
        <w:spacing w:after="0" w:before="160"/>
      </w:pPr>
    </w:p>
    <w:p>
      <w:pPr>
        <w:pBdr>
          <w:bottom w:val="single" w:color="DDDDDD" w:sz="4" w:space="1"/>
        </w:pBdr>
        <w:spacing w:after="240" w:before="240"/>
      </w:pPr>
    </w:p>
    <w:p>
      <w:pPr>
        <w:pStyle w:val="Heading1"/>
        <w:pBdr>
          <w:bottom w:val="single" w:color="C8A96E" w:sz="8" w:space="6"/>
        </w:pBdr>
        <w:spacing w:after="120" w:before="480"/>
      </w:pPr>
      <w:r>
        <w:rPr>
          <w:rFonts w:ascii="Arial" w:cs="Arial" w:eastAsia="Arial" w:hAnsi="Arial"/>
          <w:b/>
          <w:bCs/>
          <w:color w:val="1A1A1A"/>
          <w:sz w:val="36"/>
          <w:szCs w:val="36"/>
        </w:rPr>
        <w:t xml:space="preserve">02 — What The Site Is</w:t>
      </w:r>
    </w:p>
    <w:p>
      <w:pPr>
        <w:spacing w:after="120" w:before="80"/>
      </w:pPr>
      <w:r>
        <w:rPr>
          <w:rFonts w:ascii="Arial" w:cs="Arial" w:eastAsia="Arial" w:hAnsi="Arial"/>
          <w:color w:val="1A1A1A"/>
          <w:sz w:val="22"/>
          <w:szCs w:val="22"/>
        </w:rPr>
        <w:t xml:space="preserve">The E-Group website is not a brochure. It is a living platform that will eventually be written and updated by the very AI product — Rise — that it describes. At this stage it is a hand-built, high-craft static site that establishes the design system, content architecture, and positioning that Rise will inherit and extend.</w:t>
      </w:r>
    </w:p>
    <w:p>
      <w:pPr>
        <w:spacing w:after="0" w:before="80"/>
      </w:pPr>
    </w:p>
    <w:p>
      <w:pPr>
        <w:spacing w:after="120" w:before="80"/>
      </w:pPr>
      <w:r>
        <w:rPr>
          <w:rFonts w:ascii="Arial" w:cs="Arial" w:eastAsia="Arial" w:hAnsi="Arial"/>
          <w:color w:val="1A1A1A"/>
          <w:sz w:val="22"/>
          <w:szCs w:val="22"/>
        </w:rPr>
        <w:t xml:space="preserve">The site has five primary sections and one sub-section:</w:t>
      </w:r>
    </w:p>
    <w:p>
      <w:pPr>
        <w:spacing w:after="0" w:before="80"/>
      </w:pPr>
    </w:p>
    <w:p>
      <w:pPr>
        <w:pStyle w:val="Heading2"/>
        <w:spacing w:after="100" w:before="360"/>
      </w:pPr>
      <w:r>
        <w:rPr>
          <w:rFonts w:ascii="Arial" w:cs="Arial" w:eastAsia="Arial" w:hAnsi="Arial"/>
          <w:b/>
          <w:bCs/>
          <w:color w:val="1A1A1A"/>
          <w:sz w:val="26"/>
          <w:szCs w:val="26"/>
        </w:rPr>
        <w:t xml:space="preserve">Home — hoarhouse.github.io/v3/rise/</w:t>
      </w:r>
    </w:p>
    <w:p>
      <w:pPr>
        <w:spacing w:after="120" w:before="80"/>
      </w:pPr>
      <w:r>
        <w:rPr>
          <w:rFonts w:ascii="Arial" w:cs="Arial" w:eastAsia="Arial" w:hAnsi="Arial"/>
          <w:color w:val="1A1A1A"/>
          <w:sz w:val="22"/>
          <w:szCs w:val="22"/>
        </w:rPr>
        <w:t xml:space="preserve">The homepage positions E-Group at the intersection of three decades of infrastructure experience and the AI era. It leads with the core thesis — 'Sovereign Intelligence Infrastructure' — and establishes four proof points immediately: 30+ years, 110+ engineers, 5 critical sectors, EU sovereign infrastructure partner.</w:t>
      </w:r>
    </w:p>
    <w:p>
      <w:pPr>
        <w:spacing w:after="0" w:before="80"/>
      </w:pPr>
    </w:p>
    <w:p>
      <w:pPr>
        <w:spacing w:after="120" w:before="80"/>
      </w:pPr>
      <w:r>
        <w:rPr>
          <w:rFonts w:ascii="Arial" w:cs="Arial" w:eastAsia="Arial" w:hAnsi="Arial"/>
          <w:color w:val="1A1A1A"/>
          <w:sz w:val="22"/>
          <w:szCs w:val="22"/>
        </w:rPr>
        <w:t xml:space="preserve">The homepage does not oversell. It does not use AI hype language. It presents E-Group as an institution that has earned the right to operate at the frontier of AI infrastructure — and invites serious enterprises to build with them.</w:t>
      </w:r>
    </w:p>
    <w:p>
      <w:pPr>
        <w:spacing w:after="0" w:before="80"/>
      </w:pPr>
    </w:p>
    <w:p>
      <w:pPr>
        <w:pStyle w:val="Heading2"/>
        <w:spacing w:after="100" w:before="360"/>
      </w:pPr>
      <w:r>
        <w:rPr>
          <w:rFonts w:ascii="Arial" w:cs="Arial" w:eastAsia="Arial" w:hAnsi="Arial"/>
          <w:b/>
          <w:bCs/>
          <w:color w:val="1A1A1A"/>
          <w:sz w:val="26"/>
          <w:szCs w:val="26"/>
        </w:rPr>
        <w:t xml:space="preserve">Intelligence — intelligence.html</w:t>
      </w:r>
    </w:p>
    <w:p>
      <w:pPr>
        <w:spacing w:after="120" w:before="80"/>
      </w:pPr>
      <w:r>
        <w:rPr>
          <w:rFonts w:ascii="Arial" w:cs="Arial" w:eastAsia="Arial" w:hAnsi="Arial"/>
          <w:color w:val="1A1A1A"/>
          <w:sz w:val="22"/>
          <w:szCs w:val="22"/>
        </w:rPr>
        <w:t xml:space="preserve">The Intelligence section describes E-Group's sector-specific AI intelligence products: pre-trained, domain-specific intelligence platforms for FinTech, HealthTech, GovTech, SpaceTech, and EnergyTech. These are not off-the-shelf LLM wrappers. They are intelligence products built on 30 years of domain knowledge.</w:t>
      </w:r>
    </w:p>
    <w:p>
      <w:pPr>
        <w:spacing w:after="0" w:before="80"/>
      </w:pPr>
    </w:p>
    <w:p>
      <w:pPr>
        <w:spacing w:after="120" w:before="80"/>
      </w:pPr>
      <w:r>
        <w:rPr>
          <w:rFonts w:ascii="Arial" w:cs="Arial" w:eastAsia="Arial" w:hAnsi="Arial"/>
          <w:color w:val="1A1A1A"/>
          <w:sz w:val="22"/>
          <w:szCs w:val="22"/>
        </w:rPr>
        <w:t xml:space="preserve">This section makes the strategic argument for vertical AI over horizontal AI — the case that regulated industries need domain-specific intelligence, not generic large language models. E-Group's 30-year head start in each of these sectors is the moat.</w:t>
      </w:r>
    </w:p>
    <w:p>
      <w:pPr>
        <w:spacing w:after="0" w:before="80"/>
      </w:pPr>
    </w:p>
    <w:p>
      <w:pPr>
        <w:pStyle w:val="Heading2"/>
        <w:spacing w:after="100" w:before="360"/>
      </w:pPr>
      <w:r>
        <w:rPr>
          <w:rFonts w:ascii="Arial" w:cs="Arial" w:eastAsia="Arial" w:hAnsi="Arial"/>
          <w:b/>
          <w:bCs/>
          <w:color w:val="1A1A1A"/>
          <w:sz w:val="26"/>
          <w:szCs w:val="26"/>
        </w:rPr>
        <w:t xml:space="preserve">Rise — rise.html</w:t>
      </w:r>
    </w:p>
    <w:p>
      <w:pPr>
        <w:spacing w:after="120" w:before="80"/>
      </w:pPr>
      <w:r>
        <w:rPr>
          <w:rFonts w:ascii="Arial" w:cs="Arial" w:eastAsia="Arial" w:hAnsi="Arial"/>
          <w:color w:val="1A1A1A"/>
          <w:sz w:val="22"/>
          <w:szCs w:val="22"/>
        </w:rPr>
        <w:t xml:space="preserve">Rise is E-Group's flagship AI platform currently in pilot with the eGroup engineering team (50 engineers). It is a dual-consciousness system:</w:t>
      </w:r>
    </w:p>
    <w:p>
      <w:pPr>
        <w:spacing w:after="0" w:before="80"/>
      </w:pPr>
    </w:p>
    <w:p>
      <w:pPr>
        <w:pStyle w:val="ListParagraph"/>
        <w:numPr>
          <w:ilvl w:val="0"/>
          <w:numId w:val="2"/>
        </w:numPr>
        <w:spacing w:after="60" w:before="60"/>
      </w:pPr>
      <w:r>
        <w:rPr>
          <w:rFonts w:ascii="Arial" w:cs="Arial" w:eastAsia="Arial" w:hAnsi="Arial"/>
          <w:color w:val="1A1A1A"/>
          <w:sz w:val="22"/>
          <w:szCs w:val="22"/>
        </w:rPr>
        <w:t xml:space="preserve">Rise (outward consciousness) — reads the world. Monitors external signals, market events, regulatory changes, competitive shifts, and sector news. Generates structured intelligence briefs automatically. Feeds the Thinking section of this website.</w:t>
      </w:r>
    </w:p>
    <w:p>
      <w:pPr>
        <w:pStyle w:val="ListParagraph"/>
        <w:numPr>
          <w:ilvl w:val="0"/>
          <w:numId w:val="2"/>
        </w:numPr>
        <w:spacing w:after="60" w:before="60"/>
      </w:pPr>
      <w:r>
        <w:rPr>
          <w:rFonts w:ascii="Arial" w:cs="Arial" w:eastAsia="Arial" w:hAnsi="Arial"/>
          <w:color w:val="1A1A1A"/>
          <w:sz w:val="22"/>
          <w:szCs w:val="22"/>
        </w:rPr>
        <w:t xml:space="preserve">Essence (inward consciousness) — reads the organisation. Monitors internal signals — team activity, project health, anomalies, communication patterns — and surfaces what leadership needs to see before problems become crises.</w:t>
      </w:r>
    </w:p>
    <w:p>
      <w:pPr>
        <w:spacing w:after="0" w:before="80"/>
      </w:pPr>
    </w:p>
    <w:p>
      <w:pPr>
        <w:spacing w:after="120" w:before="80"/>
      </w:pPr>
      <w:r>
        <w:rPr>
          <w:rFonts w:ascii="Arial" w:cs="Arial" w:eastAsia="Arial" w:hAnsi="Arial"/>
          <w:color w:val="1A1A1A"/>
          <w:sz w:val="22"/>
          <w:szCs w:val="22"/>
        </w:rPr>
        <w:t xml:space="preserve">Both consciousnesses run on Layer 0 — The Brain — a unified knowledge graph built on Neo4j (graph relationships), pgvector (semantic search), and Kafka (real-time event streaming). The Brain connects 17 live data connectors across internal systems (Teams, CRM, GitHub, HR, Finance) and external sources (news, regulatory feeds, academic publications, industry signals).</w:t>
      </w:r>
    </w:p>
    <w:p>
      <w:pPr>
        <w:spacing w:after="0" w:before="80"/>
      </w:pPr>
    </w:p>
    <w:p>
      <w:pPr>
        <w:spacing w:after="120" w:before="80"/>
      </w:pPr>
      <w:r>
        <w:rPr>
          <w:rFonts w:ascii="Arial" w:cs="Arial" w:eastAsia="Arial" w:hAnsi="Arial"/>
          <w:color w:val="1A1A1A"/>
          <w:sz w:val="22"/>
          <w:szCs w:val="22"/>
        </w:rPr>
        <w:t xml:space="preserve">Five working demos are live. Two run directly on GitHub. Three require a local proxy to connect to the Anthropic API. All demos are documented in the Rise Journal.</w:t>
      </w:r>
    </w:p>
    <w:p>
      <w:pPr>
        <w:spacing w:after="0" w:before="80"/>
      </w:pPr>
    </w:p>
    <w:p>
      <w:pPr>
        <w:pStyle w:val="Heading2"/>
        <w:spacing w:after="100" w:before="360"/>
      </w:pPr>
      <w:r>
        <w:rPr>
          <w:rFonts w:ascii="Arial" w:cs="Arial" w:eastAsia="Arial" w:hAnsi="Arial"/>
          <w:b/>
          <w:bCs/>
          <w:color w:val="1A1A1A"/>
          <w:sz w:val="26"/>
          <w:szCs w:val="26"/>
        </w:rPr>
        <w:t xml:space="preserve">Thinking — thinking.html</w:t>
      </w:r>
    </w:p>
    <w:p>
      <w:pPr>
        <w:spacing w:after="120" w:before="80"/>
      </w:pPr>
      <w:r>
        <w:rPr>
          <w:rFonts w:ascii="Arial" w:cs="Arial" w:eastAsia="Arial" w:hAnsi="Arial"/>
          <w:color w:val="1A1A1A"/>
          <w:sz w:val="22"/>
          <w:szCs w:val="22"/>
        </w:rPr>
        <w:t xml:space="preserve">The Thinking section is E-Group's public intelligence feed — strategic analysis, technical commentary, and sector signals written by E-Group's leadership, researchers, and domain experts. It is designed to demonstrate E-Group's thinking in public, build credibility with enterprise decision-makers, and eventually be written autonomously by Rise.</w:t>
      </w:r>
    </w:p>
    <w:p>
      <w:pPr>
        <w:spacing w:after="0" w:before="80"/>
      </w:pPr>
    </w:p>
    <w:p>
      <w:pPr>
        <w:spacing w:after="120" w:before="80"/>
      </w:pPr>
      <w:r>
        <w:rPr>
          <w:rFonts w:ascii="Arial" w:cs="Arial" w:eastAsia="Arial" w:hAnsi="Arial"/>
          <w:color w:val="1A1A1A"/>
          <w:sz w:val="22"/>
          <w:szCs w:val="22"/>
        </w:rPr>
        <w:t xml:space="preserve">Currently there are four published pieces. The Thinking section is updated continuously. When Rise is fully operational, it will generate Signal-level entries automatically — surfacing market intelligence, sector shifts, and emerging regulatory changes. Human authors review before publish. Founding Voice contributors are permanently credited.</w:t>
      </w:r>
    </w:p>
    <w:p>
      <w:pPr>
        <w:spacing w:after="0" w:before="80"/>
      </w:pPr>
    </w:p>
    <w:p>
      <w:pPr>
        <w:pStyle w:val="Heading2"/>
        <w:spacing w:after="100" w:before="360"/>
      </w:pPr>
      <w:r>
        <w:rPr>
          <w:rFonts w:ascii="Arial" w:cs="Arial" w:eastAsia="Arial" w:hAnsi="Arial"/>
          <w:b/>
          <w:bCs/>
          <w:color w:val="1A1A1A"/>
          <w:sz w:val="26"/>
          <w:szCs w:val="26"/>
        </w:rPr>
        <w:t xml:space="preserve">About — about.html</w:t>
      </w:r>
    </w:p>
    <w:p>
      <w:pPr>
        <w:spacing w:after="120" w:before="80"/>
      </w:pPr>
      <w:r>
        <w:rPr>
          <w:rFonts w:ascii="Arial" w:cs="Arial" w:eastAsia="Arial" w:hAnsi="Arial"/>
          <w:color w:val="1A1A1A"/>
          <w:sz w:val="22"/>
          <w:szCs w:val="22"/>
        </w:rPr>
        <w:t xml:space="preserve">The About section provides institutional context — the 30-year history, the team structure, E-Group's position in the European AI infrastructure landscape, and the Kellton partnership MoU for building the sovereign AI stack for European enterprise.</w:t>
      </w:r>
    </w:p>
    <w:p>
      <w:pPr>
        <w:spacing w:after="0" w:before="80"/>
      </w:pPr>
    </w:p>
    <w:p>
      <w:pPr>
        <w:pStyle w:val="Heading2"/>
        <w:spacing w:after="100" w:before="360"/>
      </w:pPr>
      <w:r>
        <w:rPr>
          <w:rFonts w:ascii="Arial" w:cs="Arial" w:eastAsia="Arial" w:hAnsi="Arial"/>
          <w:b/>
          <w:bCs/>
          <w:color w:val="1A1A1A"/>
          <w:sz w:val="26"/>
          <w:szCs w:val="26"/>
        </w:rPr>
        <w:t xml:space="preserve">The Record — record/ (8 pages)</w:t>
      </w:r>
    </w:p>
    <w:p>
      <w:pPr>
        <w:spacing w:after="120" w:before="80"/>
      </w:pPr>
      <w:r>
        <w:rPr>
          <w:rFonts w:ascii="Arial" w:cs="Arial" w:eastAsia="Arial" w:hAnsi="Arial"/>
          <w:color w:val="1A1A1A"/>
          <w:sz w:val="22"/>
          <w:szCs w:val="22"/>
        </w:rPr>
        <w:t xml:space="preserve">The Record is the evidentiary backbone of the site. It is the answer to the question every enterprise buyer asks: 'Can you prove it?' The Record does not use press release language. It presents specific, verified projects with real stakes:</w:t>
      </w:r>
    </w:p>
    <w:p>
      <w:pPr>
        <w:spacing w:after="0" w:before="80"/>
      </w:pPr>
    </w:p>
    <w:p>
      <w:pPr>
        <w:pStyle w:val="ListParagraph"/>
        <w:numPr>
          <w:ilvl w:val="0"/>
          <w:numId w:val="2"/>
        </w:numPr>
        <w:spacing w:after="60" w:before="60"/>
      </w:pPr>
      <w:r>
        <w:rPr>
          <w:rFonts w:ascii="Arial" w:cs="Arial" w:eastAsia="Arial" w:hAnsi="Arial"/>
          <w:color w:val="1A1A1A"/>
          <w:sz w:val="22"/>
          <w:szCs w:val="22"/>
        </w:rPr>
        <w:t xml:space="preserve">IPCEI-CIS — FedEU.ai: E-Group's role in the EU's strategic cloud and AI infrastructure programme</w:t>
      </w:r>
    </w:p>
    <w:p>
      <w:pPr>
        <w:pStyle w:val="ListParagraph"/>
        <w:numPr>
          <w:ilvl w:val="0"/>
          <w:numId w:val="2"/>
        </w:numPr>
        <w:spacing w:after="60" w:before="60"/>
      </w:pPr>
      <w:r>
        <w:rPr>
          <w:rFonts w:ascii="Arial" w:cs="Arial" w:eastAsia="Arial" w:hAnsi="Arial"/>
          <w:color w:val="1A1A1A"/>
          <w:sz w:val="22"/>
          <w:szCs w:val="22"/>
        </w:rPr>
        <w:t xml:space="preserve">KAÜ — National Digital Identity: Hungary's national digital identity infrastructure, designed, built, and operated by E-Group</w:t>
      </w:r>
    </w:p>
    <w:p>
      <w:pPr>
        <w:pStyle w:val="ListParagraph"/>
        <w:numPr>
          <w:ilvl w:val="0"/>
          <w:numId w:val="2"/>
        </w:numPr>
        <w:spacing w:after="60" w:before="60"/>
      </w:pPr>
      <w:r>
        <w:rPr>
          <w:rFonts w:ascii="Arial" w:cs="Arial" w:eastAsia="Arial" w:hAnsi="Arial"/>
          <w:color w:val="1A1A1A"/>
          <w:sz w:val="22"/>
          <w:szCs w:val="22"/>
        </w:rPr>
        <w:t xml:space="preserve">HeliX + FedX: Health data space and federated data exchange infrastructure</w:t>
      </w:r>
    </w:p>
    <w:p>
      <w:pPr>
        <w:pStyle w:val="ListParagraph"/>
        <w:numPr>
          <w:ilvl w:val="0"/>
          <w:numId w:val="2"/>
        </w:numPr>
        <w:spacing w:after="60" w:before="60"/>
      </w:pPr>
      <w:r>
        <w:rPr>
          <w:rFonts w:ascii="Arial" w:cs="Arial" w:eastAsia="Arial" w:hAnsi="Arial"/>
          <w:color w:val="1A1A1A"/>
          <w:sz w:val="22"/>
          <w:szCs w:val="22"/>
        </w:rPr>
        <w:t xml:space="preserve">eIDAS 2.0 — MyD Wallet: E-Group's implementation of the EU digital identity wallet standard</w:t>
      </w:r>
    </w:p>
    <w:p>
      <w:pPr>
        <w:pStyle w:val="ListParagraph"/>
        <w:numPr>
          <w:ilvl w:val="0"/>
          <w:numId w:val="2"/>
        </w:numPr>
        <w:spacing w:after="60" w:before="60"/>
      </w:pPr>
      <w:r>
        <w:rPr>
          <w:rFonts w:ascii="Arial" w:cs="Arial" w:eastAsia="Arial" w:hAnsi="Arial"/>
          <w:color w:val="1A1A1A"/>
          <w:sz w:val="22"/>
          <w:szCs w:val="22"/>
        </w:rPr>
        <w:t xml:space="preserve">Medical AI — GraDPaLM: Back-to-back first place at international medical AI research events</w:t>
      </w:r>
    </w:p>
    <w:p>
      <w:pPr>
        <w:pStyle w:val="ListParagraph"/>
        <w:numPr>
          <w:ilvl w:val="0"/>
          <w:numId w:val="2"/>
        </w:numPr>
        <w:spacing w:after="60" w:before="60"/>
      </w:pPr>
      <w:r>
        <w:rPr>
          <w:rFonts w:ascii="Arial" w:cs="Arial" w:eastAsia="Arial" w:hAnsi="Arial"/>
          <w:color w:val="1A1A1A"/>
          <w:sz w:val="22"/>
          <w:szCs w:val="22"/>
        </w:rPr>
        <w:t xml:space="preserve">Dr. Péter Antal: E-Group's chief scientist and medical AI lead</w:t>
      </w:r>
    </w:p>
    <w:p>
      <w:pPr>
        <w:pStyle w:val="ListParagraph"/>
        <w:numPr>
          <w:ilvl w:val="0"/>
          <w:numId w:val="2"/>
        </w:numPr>
        <w:spacing w:after="60" w:before="60"/>
      </w:pPr>
      <w:r>
        <w:rPr>
          <w:rFonts w:ascii="Arial" w:cs="Arial" w:eastAsia="Arial" w:hAnsi="Arial"/>
          <w:color w:val="1A1A1A"/>
          <w:sz w:val="22"/>
          <w:szCs w:val="22"/>
        </w:rPr>
        <w:t xml:space="preserve">Press Kit: Media assets and contact information</w:t>
      </w:r>
    </w:p>
    <w:p>
      <w:pPr>
        <w:spacing w:after="0" w:before="160"/>
      </w:pPr>
    </w:p>
    <w:p>
      <w:pPr>
        <w:pBdr>
          <w:bottom w:val="single" w:color="DDDDDD" w:sz="4" w:space="1"/>
        </w:pBdr>
        <w:spacing w:after="240" w:before="240"/>
      </w:pPr>
    </w:p>
    <w:p>
      <w:pPr>
        <w:pStyle w:val="Heading1"/>
        <w:pBdr>
          <w:bottom w:val="single" w:color="C8A96E" w:sz="8" w:space="6"/>
        </w:pBdr>
        <w:spacing w:after="120" w:before="480"/>
      </w:pPr>
      <w:r>
        <w:rPr>
          <w:rFonts w:ascii="Arial" w:cs="Arial" w:eastAsia="Arial" w:hAnsi="Arial"/>
          <w:b/>
          <w:bCs/>
          <w:color w:val="1A1A1A"/>
          <w:sz w:val="36"/>
          <w:szCs w:val="36"/>
        </w:rPr>
        <w:t xml:space="preserve">03 — Design System &amp; Visual Language</w:t>
      </w:r>
    </w:p>
    <w:p>
      <w:pPr>
        <w:spacing w:after="120" w:before="80"/>
      </w:pPr>
      <w:r>
        <w:rPr>
          <w:rFonts w:ascii="Arial" w:cs="Arial" w:eastAsia="Arial" w:hAnsi="Arial"/>
          <w:color w:val="1A1A1A"/>
          <w:sz w:val="22"/>
          <w:szCs w:val="22"/>
        </w:rPr>
        <w:t xml:space="preserve">The design system was created specifically for this project. It is built to communicate credibility, technical seriousness, and institutional authority — without the sterile corporate aesthetic of enterprise software, and without the hype aesthetic of AI startups.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20"/>
                <w:szCs w:val="20"/>
              </w:rPr>
              <w:t xml:space="preserve">Element</w:t>
            </w:r>
          </w:p>
        </w:tc>
        <w:tc>
          <w:tcPr>
            <w:tcW w:type="dxa" w:w="656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20"/>
                <w:szCs w:val="20"/>
              </w:rPr>
              <w:t xml:space="preserve">Specification</w:t>
            </w:r>
          </w:p>
        </w:tc>
      </w:tr>
      <w:tr>
        <w:tc>
          <w:tcPr>
            <w:tcW w:type="dxa" w:w="2800"/>
            <w:tcBorders>
              <w:top w:val="single" w:color="DDDDDD" w:sz="1"/>
              <w:left w:val="single" w:color="DDDDDD" w:sz="1"/>
              <w:bottom w:val="single" w:color="DDDDDD" w:sz="1"/>
              <w:right w:val="single" w:color="DDDDDD" w:sz="1"/>
            </w:tcBorders>
            <w:shd w:fill="F9F7F4" w:val="clear"/>
            <w:tcMar>
              <w:top w:type="dxa" w:w="100"/>
              <w:left w:type="dxa" w:w="160"/>
              <w:bottom w:type="dxa" w:w="100"/>
              <w:right w:type="dxa" w:w="160"/>
            </w:tcMar>
          </w:tcPr>
          <w:p>
            <w:r>
              <w:rPr>
                <w:rFonts w:ascii="Arial" w:cs="Arial" w:eastAsia="Arial" w:hAnsi="Arial"/>
                <w:b/>
                <w:bCs/>
                <w:color w:val="1A1A1A"/>
                <w:sz w:val="20"/>
                <w:szCs w:val="20"/>
              </w:rPr>
              <w:t xml:space="preserve">Background</w:t>
            </w:r>
          </w:p>
        </w:tc>
        <w:tc>
          <w:tcPr>
            <w:tcW w:type="dxa" w:w="6560"/>
            <w:tcBorders>
              <w:top w:val="single" w:color="DDDDDD" w:sz="1"/>
              <w:left w:val="single" w:color="DDDDDD" w:sz="1"/>
              <w:bottom w:val="single" w:color="DDDDDD" w:sz="1"/>
              <w:right w:val="single" w:color="DDDDDD" w:sz="1"/>
            </w:tcBorders>
            <w:shd w:fill="F9F7F4" w:val="clear"/>
            <w:tcMar>
              <w:top w:type="dxa" w:w="100"/>
              <w:left w:type="dxa" w:w="160"/>
              <w:bottom w:type="dxa" w:w="100"/>
              <w:right w:type="dxa" w:w="160"/>
            </w:tcMar>
          </w:tcPr>
          <w:p>
            <w:r>
              <w:rPr>
                <w:rFonts w:ascii="Arial" w:cs="Arial" w:eastAsia="Arial" w:hAnsi="Arial"/>
                <w:color w:val="1A1A1A"/>
                <w:sz w:val="20"/>
                <w:szCs w:val="20"/>
              </w:rPr>
              <w:t xml:space="preserve">#080808 — near-black. Signals depth and seriousness.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1A1A"/>
                <w:sz w:val="20"/>
                <w:szCs w:val="20"/>
              </w:rPr>
              <w:t xml:space="preserve">Primary Accent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#C8A96E — warm gold. Institutional authority, not startup energy.</w:t>
            </w:r>
          </w:p>
        </w:tc>
      </w:tr>
      <w:tr>
        <w:tc>
          <w:tcPr>
            <w:tcW w:type="dxa" w:w="2800"/>
            <w:tcBorders>
              <w:top w:val="single" w:color="DDDDDD" w:sz="1"/>
              <w:left w:val="single" w:color="DDDDDD" w:sz="1"/>
              <w:bottom w:val="single" w:color="DDDDDD" w:sz="1"/>
              <w:right w:val="single" w:color="DDDDDD" w:sz="1"/>
            </w:tcBorders>
            <w:shd w:fill="F9F7F4" w:val="clear"/>
            <w:tcMar>
              <w:top w:type="dxa" w:w="100"/>
              <w:left w:type="dxa" w:w="160"/>
              <w:bottom w:type="dxa" w:w="100"/>
              <w:right w:type="dxa" w:w="160"/>
            </w:tcMar>
          </w:tcPr>
          <w:p>
            <w:r>
              <w:rPr>
                <w:rFonts w:ascii="Arial" w:cs="Arial" w:eastAsia="Arial" w:hAnsi="Arial"/>
                <w:b/>
                <w:bCs/>
                <w:color w:val="1A1A1A"/>
                <w:sz w:val="20"/>
                <w:szCs w:val="20"/>
              </w:rPr>
              <w:t xml:space="preserve">Typography — Display</w:t>
            </w:r>
          </w:p>
        </w:tc>
        <w:tc>
          <w:tcPr>
            <w:tcW w:type="dxa" w:w="6560"/>
            <w:tcBorders>
              <w:top w:val="single" w:color="DDDDDD" w:sz="1"/>
              <w:left w:val="single" w:color="DDDDDD" w:sz="1"/>
              <w:bottom w:val="single" w:color="DDDDDD" w:sz="1"/>
              <w:right w:val="single" w:color="DDDDDD" w:sz="1"/>
            </w:tcBorders>
            <w:shd w:fill="F9F7F4" w:val="clear"/>
            <w:tcMar>
              <w:top w:type="dxa" w:w="100"/>
              <w:left w:type="dxa" w:w="160"/>
              <w:bottom w:type="dxa" w:w="100"/>
              <w:right w:type="dxa" w:w="160"/>
            </w:tcMar>
          </w:tcPr>
          <w:p>
            <w:r>
              <w:rPr>
                <w:rFonts w:ascii="Arial" w:cs="Arial" w:eastAsia="Arial" w:hAnsi="Arial"/>
                <w:color w:val="1A1A1A"/>
                <w:sz w:val="20"/>
                <w:szCs w:val="20"/>
              </w:rPr>
              <w:t xml:space="preserve">Syne 800 — heavy, geometric. Used for headlines and the mobile nav main links.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1A1A"/>
                <w:sz w:val="20"/>
                <w:szCs w:val="20"/>
              </w:rPr>
              <w:t xml:space="preserve">Typography — Interface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DM Mono — monospace. Used for labels, navigation, metadata, record links.</w:t>
            </w:r>
          </w:p>
        </w:tc>
      </w:tr>
      <w:tr>
        <w:tc>
          <w:tcPr>
            <w:tcW w:type="dxa" w:w="2800"/>
            <w:tcBorders>
              <w:top w:val="single" w:color="DDDDDD" w:sz="1"/>
              <w:left w:val="single" w:color="DDDDDD" w:sz="1"/>
              <w:bottom w:val="single" w:color="DDDDDD" w:sz="1"/>
              <w:right w:val="single" w:color="DDDDDD" w:sz="1"/>
            </w:tcBorders>
            <w:shd w:fill="F9F7F4" w:val="clear"/>
            <w:tcMar>
              <w:top w:type="dxa" w:w="100"/>
              <w:left w:type="dxa" w:w="160"/>
              <w:bottom w:type="dxa" w:w="100"/>
              <w:right w:type="dxa" w:w="160"/>
            </w:tcMar>
          </w:tcPr>
          <w:p>
            <w:r>
              <w:rPr>
                <w:rFonts w:ascii="Arial" w:cs="Arial" w:eastAsia="Arial" w:hAnsi="Arial"/>
                <w:b/>
                <w:bCs/>
                <w:color w:val="1A1A1A"/>
                <w:sz w:val="20"/>
                <w:szCs w:val="20"/>
              </w:rPr>
              <w:t xml:space="preserve">Typography — Body</w:t>
            </w:r>
          </w:p>
        </w:tc>
        <w:tc>
          <w:tcPr>
            <w:tcW w:type="dxa" w:w="6560"/>
            <w:tcBorders>
              <w:top w:val="single" w:color="DDDDDD" w:sz="1"/>
              <w:left w:val="single" w:color="DDDDDD" w:sz="1"/>
              <w:bottom w:val="single" w:color="DDDDDD" w:sz="1"/>
              <w:right w:val="single" w:color="DDDDDD" w:sz="1"/>
            </w:tcBorders>
            <w:shd w:fill="F9F7F4" w:val="clear"/>
            <w:tcMar>
              <w:top w:type="dxa" w:w="100"/>
              <w:left w:type="dxa" w:w="160"/>
              <w:bottom w:type="dxa" w:w="100"/>
              <w:right w:type="dxa" w:w="160"/>
            </w:tcMar>
          </w:tcPr>
          <w:p>
            <w:r>
              <w:rPr>
                <w:rFonts w:ascii="Arial" w:cs="Arial" w:eastAsia="Arial" w:hAnsi="Arial"/>
                <w:color w:val="1A1A1A"/>
                <w:sz w:val="20"/>
                <w:szCs w:val="20"/>
              </w:rPr>
              <w:t xml:space="preserve">DM Sans — clean humanist. Used for body copy and extended reading.</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1A1A"/>
                <w:sz w:val="20"/>
                <w:szCs w:val="20"/>
              </w:rPr>
              <w:t xml:space="preserve">Navigation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Fixed, 85px tall on desktop. Gold accents. Dropdown for Record pages.</w:t>
            </w:r>
          </w:p>
        </w:tc>
      </w:tr>
      <w:tr>
        <w:tc>
          <w:tcPr>
            <w:tcW w:type="dxa" w:w="2800"/>
            <w:tcBorders>
              <w:top w:val="single" w:color="DDDDDD" w:sz="1"/>
              <w:left w:val="single" w:color="DDDDDD" w:sz="1"/>
              <w:bottom w:val="single" w:color="DDDDDD" w:sz="1"/>
              <w:right w:val="single" w:color="DDDDDD" w:sz="1"/>
            </w:tcBorders>
            <w:shd w:fill="F9F7F4" w:val="clear"/>
            <w:tcMar>
              <w:top w:type="dxa" w:w="100"/>
              <w:left w:type="dxa" w:w="160"/>
              <w:bottom w:type="dxa" w:w="100"/>
              <w:right w:type="dxa" w:w="160"/>
            </w:tcMar>
          </w:tcPr>
          <w:p>
            <w:r>
              <w:rPr>
                <w:rFonts w:ascii="Arial" w:cs="Arial" w:eastAsia="Arial" w:hAnsi="Arial"/>
                <w:b/>
                <w:bCs/>
                <w:color w:val="1A1A1A"/>
                <w:sz w:val="20"/>
                <w:szCs w:val="20"/>
              </w:rPr>
              <w:t xml:space="preserve">Mobile Nav</w:t>
            </w:r>
          </w:p>
        </w:tc>
        <w:tc>
          <w:tcPr>
            <w:tcW w:type="dxa" w:w="6560"/>
            <w:tcBorders>
              <w:top w:val="single" w:color="DDDDDD" w:sz="1"/>
              <w:left w:val="single" w:color="DDDDDD" w:sz="1"/>
              <w:bottom w:val="single" w:color="DDDDDD" w:sz="1"/>
              <w:right w:val="single" w:color="DDDDDD" w:sz="1"/>
            </w:tcBorders>
            <w:shd w:fill="F9F7F4" w:val="clear"/>
            <w:tcMar>
              <w:top w:type="dxa" w:w="100"/>
              <w:left w:type="dxa" w:w="160"/>
              <w:bottom w:type="dxa" w:w="100"/>
              <w:right w:type="dxa" w:w="160"/>
            </w:tcMar>
          </w:tcPr>
          <w:p>
            <w:r>
              <w:rPr>
                <w:rFonts w:ascii="Arial" w:cs="Arial" w:eastAsia="Arial" w:hAnsi="Arial"/>
                <w:color w:val="1A1A1A"/>
                <w:sz w:val="20"/>
                <w:szCs w:val="20"/>
              </w:rPr>
              <w:t xml:space="preserve">Full-screen overlay. Syne 800 large for main site links. DM Mono small for Record links. Gold divider between tiers.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1A1A"/>
                <w:sz w:val="20"/>
                <w:szCs w:val="20"/>
              </w:rPr>
              <w:t xml:space="preserve">Custom Cursor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Dot + ring follow-cursor on desktop. Brand signal — not decorative.</w:t>
            </w:r>
          </w:p>
        </w:tc>
      </w:tr>
      <w:tr>
        <w:tc>
          <w:tcPr>
            <w:tcW w:type="dxa" w:w="2800"/>
            <w:tcBorders>
              <w:top w:val="single" w:color="DDDDDD" w:sz="1"/>
              <w:left w:val="single" w:color="DDDDDD" w:sz="1"/>
              <w:bottom w:val="single" w:color="DDDDDD" w:sz="1"/>
              <w:right w:val="single" w:color="DDDDDD" w:sz="1"/>
            </w:tcBorders>
            <w:shd w:fill="F9F7F4" w:val="clear"/>
            <w:tcMar>
              <w:top w:type="dxa" w:w="100"/>
              <w:left w:type="dxa" w:w="160"/>
              <w:bottom w:type="dxa" w:w="100"/>
              <w:right w:type="dxa" w:w="160"/>
            </w:tcMar>
          </w:tcPr>
          <w:p>
            <w:r>
              <w:rPr>
                <w:rFonts w:ascii="Arial" w:cs="Arial" w:eastAsia="Arial" w:hAnsi="Arial"/>
                <w:b/>
                <w:bCs/>
                <w:color w:val="1A1A1A"/>
                <w:sz w:val="20"/>
                <w:szCs w:val="20"/>
              </w:rPr>
              <w:t xml:space="preserve">Scroll Reveal</w:t>
            </w:r>
          </w:p>
        </w:tc>
        <w:tc>
          <w:tcPr>
            <w:tcW w:type="dxa" w:w="6560"/>
            <w:tcBorders>
              <w:top w:val="single" w:color="DDDDDD" w:sz="1"/>
              <w:left w:val="single" w:color="DDDDDD" w:sz="1"/>
              <w:bottom w:val="single" w:color="DDDDDD" w:sz="1"/>
              <w:right w:val="single" w:color="DDDDDD" w:sz="1"/>
            </w:tcBorders>
            <w:shd w:fill="F9F7F4" w:val="clear"/>
            <w:tcMar>
              <w:top w:type="dxa" w:w="100"/>
              <w:left w:type="dxa" w:w="160"/>
              <w:bottom w:type="dxa" w:w="100"/>
              <w:right w:type="dxa" w:w="160"/>
            </w:tcMar>
          </w:tcPr>
          <w:p>
            <w:r>
              <w:rPr>
                <w:rFonts w:ascii="Arial" w:cs="Arial" w:eastAsia="Arial" w:hAnsi="Arial"/>
                <w:color w:val="1A1A1A"/>
                <w:sz w:val="20"/>
                <w:szCs w:val="20"/>
              </w:rPr>
              <w:t xml:space="preserve">Elements fade in on scroll via IntersectionObserver. Adds pace and depth.</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1A1A"/>
                <w:sz w:val="20"/>
                <w:szCs w:val="20"/>
              </w:rPr>
              <w:t xml:space="preserve">CSS Variables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--black, --gold, --dim, --mid, --white, --border</w:t>
            </w:r>
          </w:p>
        </w:tc>
      </w:tr>
      <w:tr>
        <w:tc>
          <w:tcPr>
            <w:tcW w:type="dxa" w:w="2800"/>
            <w:tcBorders>
              <w:top w:val="single" w:color="DDDDDD" w:sz="1"/>
              <w:left w:val="single" w:color="DDDDDD" w:sz="1"/>
              <w:bottom w:val="single" w:color="DDDDDD" w:sz="1"/>
              <w:right w:val="single" w:color="DDDDDD" w:sz="1"/>
            </w:tcBorders>
            <w:shd w:fill="F9F7F4" w:val="clear"/>
            <w:tcMar>
              <w:top w:type="dxa" w:w="100"/>
              <w:left w:type="dxa" w:w="160"/>
              <w:bottom w:type="dxa" w:w="100"/>
              <w:right w:type="dxa" w:w="160"/>
            </w:tcMar>
          </w:tcPr>
          <w:p>
            <w:r>
              <w:rPr>
                <w:rFonts w:ascii="Arial" w:cs="Arial" w:eastAsia="Arial" w:hAnsi="Arial"/>
                <w:b/>
                <w:bCs/>
                <w:color w:val="1A1A1A"/>
                <w:sz w:val="20"/>
                <w:szCs w:val="20"/>
              </w:rPr>
              <w:t xml:space="preserve">Repository</w:t>
            </w:r>
          </w:p>
        </w:tc>
        <w:tc>
          <w:tcPr>
            <w:tcW w:type="dxa" w:w="6560"/>
            <w:tcBorders>
              <w:top w:val="single" w:color="DDDDDD" w:sz="1"/>
              <w:left w:val="single" w:color="DDDDDD" w:sz="1"/>
              <w:bottom w:val="single" w:color="DDDDDD" w:sz="1"/>
              <w:right w:val="single" w:color="DDDDDD" w:sz="1"/>
            </w:tcBorders>
            <w:shd w:fill="F9F7F4" w:val="clear"/>
            <w:tcMar>
              <w:top w:type="dxa" w:w="100"/>
              <w:left w:type="dxa" w:w="160"/>
              <w:bottom w:type="dxa" w:w="100"/>
              <w:right w:type="dxa" w:w="160"/>
            </w:tcMar>
          </w:tcPr>
          <w:p>
            <w:r>
              <w:rPr>
                <w:rFonts w:ascii="Arial" w:cs="Arial" w:eastAsia="Arial" w:hAnsi="Arial"/>
                <w:color w:val="1A1A1A"/>
                <w:sz w:val="20"/>
                <w:szCs w:val="20"/>
              </w:rPr>
              <w:t xml:space="preserve">github.com/hoarhouse/v3 — path: rise/</w:t>
            </w:r>
          </w:p>
        </w:tc>
      </w:tr>
    </w:tbl>
    <w:p>
      <w:pPr>
        <w:spacing w:after="0" w:before="160"/>
      </w:pPr>
    </w:p>
    <w:p>
      <w:pPr>
        <w:pBdr>
          <w:bottom w:val="single" w:color="DDDDDD" w:sz="4" w:space="1"/>
        </w:pBdr>
        <w:spacing w:after="240" w:before="240"/>
      </w:pPr>
    </w:p>
    <w:p>
      <w:pPr>
        <w:pStyle w:val="Heading1"/>
        <w:pBdr>
          <w:bottom w:val="single" w:color="C8A96E" w:sz="8" w:space="6"/>
        </w:pBdr>
        <w:spacing w:after="120" w:before="480"/>
      </w:pPr>
      <w:r>
        <w:rPr>
          <w:rFonts w:ascii="Arial" w:cs="Arial" w:eastAsia="Arial" w:hAnsi="Arial"/>
          <w:b/>
          <w:bCs/>
          <w:color w:val="1A1A1A"/>
          <w:sz w:val="36"/>
          <w:szCs w:val="36"/>
        </w:rPr>
        <w:t xml:space="preserve">04 — Site Architecture</w:t>
      </w:r>
    </w:p>
    <w:p>
      <w:pPr>
        <w:spacing w:after="120" w:before="80"/>
      </w:pPr>
      <w:r>
        <w:rPr>
          <w:rFonts w:ascii="Arial" w:cs="Arial" w:eastAsia="Arial" w:hAnsi="Arial"/>
          <w:color w:val="1A1A1A"/>
          <w:sz w:val="22"/>
          <w:szCs w:val="22"/>
        </w:rPr>
        <w:t xml:space="preserve">The site is built as a static HTML/CSS/JS site hosted on GitHub Pages. Each page has its own fully inline CSS — there is no external stylesheet. This was a deliberate decision made early in the build to allow each page to evolve independently without shared CSS conflicts.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20"/>
                <w:szCs w:val="20"/>
              </w:rPr>
              <w:t xml:space="preserve">File</w:t>
            </w:r>
          </w:p>
        </w:tc>
        <w:tc>
          <w:tcPr>
            <w:tcW w:type="dxa" w:w="656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20"/>
                <w:szCs w:val="20"/>
              </w:rPr>
              <w:t xml:space="preserve">Status</w:t>
            </w:r>
          </w:p>
        </w:tc>
      </w:tr>
      <w:tr>
        <w:tc>
          <w:tcPr>
            <w:tcW w:type="dxa" w:w="2800"/>
            <w:tcBorders>
              <w:top w:val="single" w:color="DDDDDD" w:sz="1"/>
              <w:left w:val="single" w:color="DDDDDD" w:sz="1"/>
              <w:bottom w:val="single" w:color="DDDDDD" w:sz="1"/>
              <w:right w:val="single" w:color="DDDDDD" w:sz="1"/>
            </w:tcBorders>
            <w:shd w:fill="F9F7F4" w:val="clear"/>
            <w:tcMar>
              <w:top w:type="dxa" w:w="100"/>
              <w:left w:type="dxa" w:w="160"/>
              <w:bottom w:type="dxa" w:w="100"/>
              <w:right w:type="dxa" w:w="160"/>
            </w:tcMar>
          </w:tcPr>
          <w:p>
            <w:r>
              <w:rPr>
                <w:rFonts w:ascii="Arial" w:cs="Arial" w:eastAsia="Arial" w:hAnsi="Arial"/>
                <w:b/>
                <w:bCs/>
                <w:color w:val="1A1A1A"/>
                <w:sz w:val="20"/>
                <w:szCs w:val="20"/>
              </w:rPr>
              <w:t xml:space="preserve">rise/index.html</w:t>
            </w:r>
          </w:p>
        </w:tc>
        <w:tc>
          <w:tcPr>
            <w:tcW w:type="dxa" w:w="6560"/>
            <w:tcBorders>
              <w:top w:val="single" w:color="DDDDDD" w:sz="1"/>
              <w:left w:val="single" w:color="DDDDDD" w:sz="1"/>
              <w:bottom w:val="single" w:color="DDDDDD" w:sz="1"/>
              <w:right w:val="single" w:color="DDDDDD" w:sz="1"/>
            </w:tcBorders>
            <w:shd w:fill="F9F7F4" w:val="clear"/>
            <w:tcMar>
              <w:top w:type="dxa" w:w="100"/>
              <w:left w:type="dxa" w:w="160"/>
              <w:bottom w:type="dxa" w:w="100"/>
              <w:right w:type="dxa" w:w="160"/>
            </w:tcMar>
          </w:tcPr>
          <w:p>
            <w:r>
              <w:rPr>
                <w:rFonts w:ascii="Arial" w:cs="Arial" w:eastAsia="Arial" w:hAnsi="Arial"/>
                <w:color w:val="1A1A1A"/>
                <w:sz w:val="20"/>
                <w:szCs w:val="20"/>
              </w:rPr>
              <w:t xml:space="preserve">COMPLETE — Homepage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1A1A"/>
                <w:sz w:val="20"/>
                <w:szCs w:val="20"/>
              </w:rPr>
              <w:t xml:space="preserve">rise/intelligence.html</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COMPLETE — Intelligence Products</w:t>
            </w:r>
          </w:p>
        </w:tc>
      </w:tr>
      <w:tr>
        <w:tc>
          <w:tcPr>
            <w:tcW w:type="dxa" w:w="2800"/>
            <w:tcBorders>
              <w:top w:val="single" w:color="DDDDDD" w:sz="1"/>
              <w:left w:val="single" w:color="DDDDDD" w:sz="1"/>
              <w:bottom w:val="single" w:color="DDDDDD" w:sz="1"/>
              <w:right w:val="single" w:color="DDDDDD" w:sz="1"/>
            </w:tcBorders>
            <w:shd w:fill="F9F7F4" w:val="clear"/>
            <w:tcMar>
              <w:top w:type="dxa" w:w="100"/>
              <w:left w:type="dxa" w:w="160"/>
              <w:bottom w:type="dxa" w:w="100"/>
              <w:right w:type="dxa" w:w="160"/>
            </w:tcMar>
          </w:tcPr>
          <w:p>
            <w:r>
              <w:rPr>
                <w:rFonts w:ascii="Arial" w:cs="Arial" w:eastAsia="Arial" w:hAnsi="Arial"/>
                <w:b/>
                <w:bCs/>
                <w:color w:val="1A1A1A"/>
                <w:sz w:val="20"/>
                <w:szCs w:val="20"/>
              </w:rPr>
              <w:t xml:space="preserve">rise/rise.html</w:t>
            </w:r>
          </w:p>
        </w:tc>
        <w:tc>
          <w:tcPr>
            <w:tcW w:type="dxa" w:w="6560"/>
            <w:tcBorders>
              <w:top w:val="single" w:color="DDDDDD" w:sz="1"/>
              <w:left w:val="single" w:color="DDDDDD" w:sz="1"/>
              <w:bottom w:val="single" w:color="DDDDDD" w:sz="1"/>
              <w:right w:val="single" w:color="DDDDDD" w:sz="1"/>
            </w:tcBorders>
            <w:shd w:fill="F9F7F4" w:val="clear"/>
            <w:tcMar>
              <w:top w:type="dxa" w:w="100"/>
              <w:left w:type="dxa" w:w="160"/>
              <w:bottom w:type="dxa" w:w="100"/>
              <w:right w:type="dxa" w:w="160"/>
            </w:tcMar>
          </w:tcPr>
          <w:p>
            <w:r>
              <w:rPr>
                <w:rFonts w:ascii="Arial" w:cs="Arial" w:eastAsia="Arial" w:hAnsi="Arial"/>
                <w:color w:val="1A1A1A"/>
                <w:sz w:val="20"/>
                <w:szCs w:val="20"/>
              </w:rPr>
              <w:t xml:space="preserve">COMPLETE — Rise Platform + Demos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1A1A"/>
                <w:sz w:val="20"/>
                <w:szCs w:val="20"/>
              </w:rPr>
              <w:t xml:space="preserve">rise/thinking.html</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COMPLETE — Thinking Feed</w:t>
            </w:r>
          </w:p>
        </w:tc>
      </w:tr>
      <w:tr>
        <w:tc>
          <w:tcPr>
            <w:tcW w:type="dxa" w:w="2800"/>
            <w:tcBorders>
              <w:top w:val="single" w:color="DDDDDD" w:sz="1"/>
              <w:left w:val="single" w:color="DDDDDD" w:sz="1"/>
              <w:bottom w:val="single" w:color="DDDDDD" w:sz="1"/>
              <w:right w:val="single" w:color="DDDDDD" w:sz="1"/>
            </w:tcBorders>
            <w:shd w:fill="F9F7F4" w:val="clear"/>
            <w:tcMar>
              <w:top w:type="dxa" w:w="100"/>
              <w:left w:type="dxa" w:w="160"/>
              <w:bottom w:type="dxa" w:w="100"/>
              <w:right w:type="dxa" w:w="160"/>
            </w:tcMar>
          </w:tcPr>
          <w:p>
            <w:r>
              <w:rPr>
                <w:rFonts w:ascii="Arial" w:cs="Arial" w:eastAsia="Arial" w:hAnsi="Arial"/>
                <w:b/>
                <w:bCs/>
                <w:color w:val="1A1A1A"/>
                <w:sz w:val="20"/>
                <w:szCs w:val="20"/>
              </w:rPr>
              <w:t xml:space="preserve">rise/about.html</w:t>
            </w:r>
          </w:p>
        </w:tc>
        <w:tc>
          <w:tcPr>
            <w:tcW w:type="dxa" w:w="6560"/>
            <w:tcBorders>
              <w:top w:val="single" w:color="DDDDDD" w:sz="1"/>
              <w:left w:val="single" w:color="DDDDDD" w:sz="1"/>
              <w:bottom w:val="single" w:color="DDDDDD" w:sz="1"/>
              <w:right w:val="single" w:color="DDDDDD" w:sz="1"/>
            </w:tcBorders>
            <w:shd w:fill="F9F7F4" w:val="clear"/>
            <w:tcMar>
              <w:top w:type="dxa" w:w="100"/>
              <w:left w:type="dxa" w:w="160"/>
              <w:bottom w:type="dxa" w:w="100"/>
              <w:right w:type="dxa" w:w="160"/>
            </w:tcMar>
          </w:tcPr>
          <w:p>
            <w:r>
              <w:rPr>
                <w:rFonts w:ascii="Arial" w:cs="Arial" w:eastAsia="Arial" w:hAnsi="Arial"/>
                <w:color w:val="1A1A1A"/>
                <w:sz w:val="20"/>
                <w:szCs w:val="20"/>
              </w:rPr>
              <w:t xml:space="preserve">COMPLETE — About E-Group</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1A1A"/>
                <w:sz w:val="20"/>
                <w:szCs w:val="20"/>
              </w:rPr>
              <w:t xml:space="preserve">rise/record/index.html</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COMPLETE — Record Home</w:t>
            </w:r>
          </w:p>
        </w:tc>
      </w:tr>
      <w:tr>
        <w:tc>
          <w:tcPr>
            <w:tcW w:type="dxa" w:w="2800"/>
            <w:tcBorders>
              <w:top w:val="single" w:color="DDDDDD" w:sz="1"/>
              <w:left w:val="single" w:color="DDDDDD" w:sz="1"/>
              <w:bottom w:val="single" w:color="DDDDDD" w:sz="1"/>
              <w:right w:val="single" w:color="DDDDDD" w:sz="1"/>
            </w:tcBorders>
            <w:shd w:fill="F9F7F4" w:val="clear"/>
            <w:tcMar>
              <w:top w:type="dxa" w:w="100"/>
              <w:left w:type="dxa" w:w="160"/>
              <w:bottom w:type="dxa" w:w="100"/>
              <w:right w:type="dxa" w:w="160"/>
            </w:tcMar>
          </w:tcPr>
          <w:p>
            <w:r>
              <w:rPr>
                <w:rFonts w:ascii="Arial" w:cs="Arial" w:eastAsia="Arial" w:hAnsi="Arial"/>
                <w:b/>
                <w:bCs/>
                <w:color w:val="1A1A1A"/>
                <w:sz w:val="20"/>
                <w:szCs w:val="20"/>
              </w:rPr>
              <w:t xml:space="preserve">rise/record/ipcei-cis.html</w:t>
            </w:r>
          </w:p>
        </w:tc>
        <w:tc>
          <w:tcPr>
            <w:tcW w:type="dxa" w:w="6560"/>
            <w:tcBorders>
              <w:top w:val="single" w:color="DDDDDD" w:sz="1"/>
              <w:left w:val="single" w:color="DDDDDD" w:sz="1"/>
              <w:bottom w:val="single" w:color="DDDDDD" w:sz="1"/>
              <w:right w:val="single" w:color="DDDDDD" w:sz="1"/>
            </w:tcBorders>
            <w:shd w:fill="F9F7F4" w:val="clear"/>
            <w:tcMar>
              <w:top w:type="dxa" w:w="100"/>
              <w:left w:type="dxa" w:w="160"/>
              <w:bottom w:type="dxa" w:w="100"/>
              <w:right w:type="dxa" w:w="160"/>
            </w:tcMar>
          </w:tcPr>
          <w:p>
            <w:r>
              <w:rPr>
                <w:rFonts w:ascii="Arial" w:cs="Arial" w:eastAsia="Arial" w:hAnsi="Arial"/>
                <w:color w:val="1A1A1A"/>
                <w:sz w:val="20"/>
                <w:szCs w:val="20"/>
              </w:rPr>
              <w:t xml:space="preserve">COMPLETE — IPCEI-CIS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1A1A"/>
                <w:sz w:val="20"/>
                <w:szCs w:val="20"/>
              </w:rPr>
              <w:t xml:space="preserve">rise/record/kau.html</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COMPLETE — KAÜ National Identity</w:t>
            </w:r>
          </w:p>
        </w:tc>
      </w:tr>
      <w:tr>
        <w:tc>
          <w:tcPr>
            <w:tcW w:type="dxa" w:w="2800"/>
            <w:tcBorders>
              <w:top w:val="single" w:color="DDDDDD" w:sz="1"/>
              <w:left w:val="single" w:color="DDDDDD" w:sz="1"/>
              <w:bottom w:val="single" w:color="DDDDDD" w:sz="1"/>
              <w:right w:val="single" w:color="DDDDDD" w:sz="1"/>
            </w:tcBorders>
            <w:shd w:fill="F9F7F4" w:val="clear"/>
            <w:tcMar>
              <w:top w:type="dxa" w:w="100"/>
              <w:left w:type="dxa" w:w="160"/>
              <w:bottom w:type="dxa" w:w="100"/>
              <w:right w:type="dxa" w:w="160"/>
            </w:tcMar>
          </w:tcPr>
          <w:p>
            <w:r>
              <w:rPr>
                <w:rFonts w:ascii="Arial" w:cs="Arial" w:eastAsia="Arial" w:hAnsi="Arial"/>
                <w:b/>
                <w:bCs/>
                <w:color w:val="1A1A1A"/>
                <w:sz w:val="20"/>
                <w:szCs w:val="20"/>
              </w:rPr>
              <w:t xml:space="preserve">rise/record/helix.html</w:t>
            </w:r>
          </w:p>
        </w:tc>
        <w:tc>
          <w:tcPr>
            <w:tcW w:type="dxa" w:w="6560"/>
            <w:tcBorders>
              <w:top w:val="single" w:color="DDDDDD" w:sz="1"/>
              <w:left w:val="single" w:color="DDDDDD" w:sz="1"/>
              <w:bottom w:val="single" w:color="DDDDDD" w:sz="1"/>
              <w:right w:val="single" w:color="DDDDDD" w:sz="1"/>
            </w:tcBorders>
            <w:shd w:fill="F9F7F4" w:val="clear"/>
            <w:tcMar>
              <w:top w:type="dxa" w:w="100"/>
              <w:left w:type="dxa" w:w="160"/>
              <w:bottom w:type="dxa" w:w="100"/>
              <w:right w:type="dxa" w:w="160"/>
            </w:tcMar>
          </w:tcPr>
          <w:p>
            <w:r>
              <w:rPr>
                <w:rFonts w:ascii="Arial" w:cs="Arial" w:eastAsia="Arial" w:hAnsi="Arial"/>
                <w:color w:val="1A1A1A"/>
                <w:sz w:val="20"/>
                <w:szCs w:val="20"/>
              </w:rPr>
              <w:t xml:space="preserve">COMPLETE — HeliX + FedX</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1A1A"/>
                <w:sz w:val="20"/>
                <w:szCs w:val="20"/>
              </w:rPr>
              <w:t xml:space="preserve">rise/record/eidas.html</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COMPLETE — eIDAS 2.0</w:t>
            </w:r>
          </w:p>
        </w:tc>
      </w:tr>
      <w:tr>
        <w:tc>
          <w:tcPr>
            <w:tcW w:type="dxa" w:w="2800"/>
            <w:tcBorders>
              <w:top w:val="single" w:color="DDDDDD" w:sz="1"/>
              <w:left w:val="single" w:color="DDDDDD" w:sz="1"/>
              <w:bottom w:val="single" w:color="DDDDDD" w:sz="1"/>
              <w:right w:val="single" w:color="DDDDDD" w:sz="1"/>
            </w:tcBorders>
            <w:shd w:fill="F9F7F4" w:val="clear"/>
            <w:tcMar>
              <w:top w:type="dxa" w:w="100"/>
              <w:left w:type="dxa" w:w="160"/>
              <w:bottom w:type="dxa" w:w="100"/>
              <w:right w:type="dxa" w:w="160"/>
            </w:tcMar>
          </w:tcPr>
          <w:p>
            <w:r>
              <w:rPr>
                <w:rFonts w:ascii="Arial" w:cs="Arial" w:eastAsia="Arial" w:hAnsi="Arial"/>
                <w:b/>
                <w:bCs/>
                <w:color w:val="1A1A1A"/>
                <w:sz w:val="20"/>
                <w:szCs w:val="20"/>
              </w:rPr>
              <w:t xml:space="preserve">rise/record/medical-ai.html</w:t>
            </w:r>
          </w:p>
        </w:tc>
        <w:tc>
          <w:tcPr>
            <w:tcW w:type="dxa" w:w="6560"/>
            <w:tcBorders>
              <w:top w:val="single" w:color="DDDDDD" w:sz="1"/>
              <w:left w:val="single" w:color="DDDDDD" w:sz="1"/>
              <w:bottom w:val="single" w:color="DDDDDD" w:sz="1"/>
              <w:right w:val="single" w:color="DDDDDD" w:sz="1"/>
            </w:tcBorders>
            <w:shd w:fill="F9F7F4" w:val="clear"/>
            <w:tcMar>
              <w:top w:type="dxa" w:w="100"/>
              <w:left w:type="dxa" w:w="160"/>
              <w:bottom w:type="dxa" w:w="100"/>
              <w:right w:type="dxa" w:w="160"/>
            </w:tcMar>
          </w:tcPr>
          <w:p>
            <w:r>
              <w:rPr>
                <w:rFonts w:ascii="Arial" w:cs="Arial" w:eastAsia="Arial" w:hAnsi="Arial"/>
                <w:color w:val="1A1A1A"/>
                <w:sz w:val="20"/>
                <w:szCs w:val="20"/>
              </w:rPr>
              <w:t xml:space="preserve">COMPLETE — Medical AI</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1A1A"/>
                <w:sz w:val="20"/>
                <w:szCs w:val="20"/>
              </w:rPr>
              <w:t xml:space="preserve">rise/record/peter-antal.html</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COMPLETE — Dr. Péter Antal</w:t>
            </w:r>
          </w:p>
        </w:tc>
      </w:tr>
      <w:tr>
        <w:tc>
          <w:tcPr>
            <w:tcW w:type="dxa" w:w="2800"/>
            <w:tcBorders>
              <w:top w:val="single" w:color="DDDDDD" w:sz="1"/>
              <w:left w:val="single" w:color="DDDDDD" w:sz="1"/>
              <w:bottom w:val="single" w:color="DDDDDD" w:sz="1"/>
              <w:right w:val="single" w:color="DDDDDD" w:sz="1"/>
            </w:tcBorders>
            <w:shd w:fill="F9F7F4" w:val="clear"/>
            <w:tcMar>
              <w:top w:type="dxa" w:w="100"/>
              <w:left w:type="dxa" w:w="160"/>
              <w:bottom w:type="dxa" w:w="100"/>
              <w:right w:type="dxa" w:w="160"/>
            </w:tcMar>
          </w:tcPr>
          <w:p>
            <w:r>
              <w:rPr>
                <w:rFonts w:ascii="Arial" w:cs="Arial" w:eastAsia="Arial" w:hAnsi="Arial"/>
                <w:b/>
                <w:bCs/>
                <w:color w:val="1A1A1A"/>
                <w:sz w:val="20"/>
                <w:szCs w:val="20"/>
              </w:rPr>
              <w:t xml:space="preserve">rise/record/press.html</w:t>
            </w:r>
          </w:p>
        </w:tc>
        <w:tc>
          <w:tcPr>
            <w:tcW w:type="dxa" w:w="6560"/>
            <w:tcBorders>
              <w:top w:val="single" w:color="DDDDDD" w:sz="1"/>
              <w:left w:val="single" w:color="DDDDDD" w:sz="1"/>
              <w:bottom w:val="single" w:color="DDDDDD" w:sz="1"/>
              <w:right w:val="single" w:color="DDDDDD" w:sz="1"/>
            </w:tcBorders>
            <w:shd w:fill="F9F7F4" w:val="clear"/>
            <w:tcMar>
              <w:top w:type="dxa" w:w="100"/>
              <w:left w:type="dxa" w:w="160"/>
              <w:bottom w:type="dxa" w:w="100"/>
              <w:right w:type="dxa" w:w="160"/>
            </w:tcMar>
          </w:tcPr>
          <w:p>
            <w:r>
              <w:rPr>
                <w:rFonts w:ascii="Arial" w:cs="Arial" w:eastAsia="Arial" w:hAnsi="Arial"/>
                <w:color w:val="1A1A1A"/>
                <w:sz w:val="20"/>
                <w:szCs w:val="20"/>
              </w:rPr>
              <w:t xml:space="preserve">COMPLETE — Press Kit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1A1A"/>
                <w:sz w:val="20"/>
                <w:szCs w:val="20"/>
              </w:rPr>
              <w:t xml:space="preserve">rise/demos/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5 working demos — 2 live, 3 local proxy</w:t>
            </w:r>
          </w:p>
        </w:tc>
      </w:tr>
      <w:tr>
        <w:tc>
          <w:tcPr>
            <w:tcW w:type="dxa" w:w="2800"/>
            <w:tcBorders>
              <w:top w:val="single" w:color="DDDDDD" w:sz="1"/>
              <w:left w:val="single" w:color="DDDDDD" w:sz="1"/>
              <w:bottom w:val="single" w:color="DDDDDD" w:sz="1"/>
              <w:right w:val="single" w:color="DDDDDD" w:sz="1"/>
            </w:tcBorders>
            <w:shd w:fill="F9F7F4" w:val="clear"/>
            <w:tcMar>
              <w:top w:type="dxa" w:w="100"/>
              <w:left w:type="dxa" w:w="160"/>
              <w:bottom w:type="dxa" w:w="100"/>
              <w:right w:type="dxa" w:w="160"/>
            </w:tcMar>
          </w:tcPr>
          <w:p>
            <w:r>
              <w:rPr>
                <w:rFonts w:ascii="Arial" w:cs="Arial" w:eastAsia="Arial" w:hAnsi="Arial"/>
                <w:b/>
                <w:bCs/>
                <w:color w:val="1A1A1A"/>
                <w:sz w:val="20"/>
                <w:szCs w:val="20"/>
              </w:rPr>
              <w:t xml:space="preserve">rise/journal/</w:t>
            </w:r>
          </w:p>
        </w:tc>
        <w:tc>
          <w:tcPr>
            <w:tcW w:type="dxa" w:w="6560"/>
            <w:tcBorders>
              <w:top w:val="single" w:color="DDDDDD" w:sz="1"/>
              <w:left w:val="single" w:color="DDDDDD" w:sz="1"/>
              <w:bottom w:val="single" w:color="DDDDDD" w:sz="1"/>
              <w:right w:val="single" w:color="DDDDDD" w:sz="1"/>
            </w:tcBorders>
            <w:shd w:fill="F9F7F4" w:val="clear"/>
            <w:tcMar>
              <w:top w:type="dxa" w:w="100"/>
              <w:left w:type="dxa" w:w="160"/>
              <w:bottom w:type="dxa" w:w="100"/>
              <w:right w:type="dxa" w:w="160"/>
            </w:tcMar>
          </w:tcPr>
          <w:p>
            <w:r>
              <w:rPr>
                <w:rFonts w:ascii="Arial" w:cs="Arial" w:eastAsia="Arial" w:hAnsi="Arial"/>
                <w:color w:val="1A1A1A"/>
                <w:sz w:val="20"/>
                <w:szCs w:val="20"/>
              </w:rPr>
              <w:t xml:space="preserve">Build journal — 4 entries live</w:t>
            </w:r>
          </w:p>
        </w:tc>
      </w:tr>
    </w:tbl>
    <w:p>
      <w:pPr>
        <w:spacing w:after="0" w:before="160"/>
      </w:pPr>
    </w:p>
    <w:p>
      <w:pPr>
        <w:spacing w:after="120" w:before="80"/>
      </w:pPr>
      <w:r>
        <w:rPr>
          <w:rFonts w:ascii="Arial" w:cs="Arial" w:eastAsia="Arial" w:hAnsi="Arial"/>
          <w:color w:val="1A1A1A"/>
          <w:sz w:val="22"/>
          <w:szCs w:val="22"/>
        </w:rPr>
        <w:t xml:space="preserve">The demos directory contains the working Rise and Essence implementations. proxy.js and proxy2.js handle the Anthropic API bridge. API keys are stored in a .env file that is gitignored. These files are never committed to the repository.</w:t>
      </w:r>
    </w:p>
    <w:p>
      <w:pPr>
        <w:spacing w:after="0" w:before="160"/>
      </w:pPr>
    </w:p>
    <w:p>
      <w:pPr>
        <w:pBdr>
          <w:bottom w:val="single" w:color="DDDDDD" w:sz="4" w:space="1"/>
        </w:pBdr>
        <w:spacing w:after="240" w:before="240"/>
      </w:pPr>
    </w:p>
    <w:p>
      <w:pPr>
        <w:pStyle w:val="Heading1"/>
        <w:pBdr>
          <w:bottom w:val="single" w:color="C8A96E" w:sz="8" w:space="6"/>
        </w:pBdr>
        <w:spacing w:after="120" w:before="480"/>
      </w:pPr>
      <w:r>
        <w:rPr>
          <w:rFonts w:ascii="Arial" w:cs="Arial" w:eastAsia="Arial" w:hAnsi="Arial"/>
          <w:b/>
          <w:bCs/>
          <w:color w:val="1A1A1A"/>
          <w:sz w:val="36"/>
          <w:szCs w:val="36"/>
        </w:rPr>
        <w:t xml:space="preserve">05 — Why It Is Built This Way</w:t>
      </w:r>
    </w:p>
    <w:p>
      <w:pPr>
        <w:pStyle w:val="Heading2"/>
        <w:spacing w:after="100" w:before="360"/>
      </w:pPr>
      <w:r>
        <w:rPr>
          <w:rFonts w:ascii="Arial" w:cs="Arial" w:eastAsia="Arial" w:hAnsi="Arial"/>
          <w:b/>
          <w:bCs/>
          <w:color w:val="1A1A1A"/>
          <w:sz w:val="26"/>
          <w:szCs w:val="26"/>
        </w:rPr>
        <w:t xml:space="preserve">Why static HTML, not a CMS</w:t>
      </w:r>
    </w:p>
    <w:p>
      <w:pPr>
        <w:spacing w:after="120" w:before="80"/>
      </w:pPr>
      <w:r>
        <w:rPr>
          <w:rFonts w:ascii="Arial" w:cs="Arial" w:eastAsia="Arial" w:hAnsi="Arial"/>
          <w:color w:val="1A1A1A"/>
          <w:sz w:val="22"/>
          <w:szCs w:val="22"/>
        </w:rPr>
        <w:t xml:space="preserve">Speed, control, and permanence. A static site on GitHub Pages has no attack surface, no database, no maintenance overhead, and loads instantly anywhere in the world. It will still work in 10 years without touching it. For a company whose product is infrastructure reliability, the website should embody infrastructure reliability.</w:t>
      </w:r>
    </w:p>
    <w:p>
      <w:pPr>
        <w:spacing w:after="0" w:before="80"/>
      </w:pPr>
    </w:p>
    <w:p>
      <w:pPr>
        <w:pStyle w:val="Heading2"/>
        <w:spacing w:after="100" w:before="360"/>
      </w:pPr>
      <w:r>
        <w:rPr>
          <w:rFonts w:ascii="Arial" w:cs="Arial" w:eastAsia="Arial" w:hAnsi="Arial"/>
          <w:b/>
          <w:bCs/>
          <w:color w:val="1A1A1A"/>
          <w:sz w:val="26"/>
          <w:szCs w:val="26"/>
        </w:rPr>
        <w:t xml:space="preserve">Why inline CSS per page</w:t>
      </w:r>
    </w:p>
    <w:p>
      <w:pPr>
        <w:spacing w:after="120" w:before="80"/>
      </w:pPr>
      <w:r>
        <w:rPr>
          <w:rFonts w:ascii="Arial" w:cs="Arial" w:eastAsia="Arial" w:hAnsi="Arial"/>
          <w:color w:val="1A1A1A"/>
          <w:sz w:val="22"/>
          <w:szCs w:val="22"/>
        </w:rPr>
        <w:t xml:space="preserve">Each page of this site has a different visual character — the homepage, the Rise page, and the Record pages all feel distinct while sharing the same design system. Inline CSS gives each page complete autonomy. There are no cascade conflicts, no specificity wars, no fear that changing a shared stylesheet breaks 13 pages at once. The tradeoff is file size; the benefit is correctness and independence.</w:t>
      </w:r>
    </w:p>
    <w:p>
      <w:pPr>
        <w:spacing w:after="0" w:before="80"/>
      </w:pPr>
    </w:p>
    <w:p>
      <w:pPr>
        <w:pStyle w:val="Heading2"/>
        <w:spacing w:after="100" w:before="360"/>
      </w:pPr>
      <w:r>
        <w:rPr>
          <w:rFonts w:ascii="Arial" w:cs="Arial" w:eastAsia="Arial" w:hAnsi="Arial"/>
          <w:b/>
          <w:bCs/>
          <w:color w:val="1A1A1A"/>
          <w:sz w:val="26"/>
          <w:szCs w:val="26"/>
        </w:rPr>
        <w:t xml:space="preserve">Why The Record section exists</w:t>
      </w:r>
    </w:p>
    <w:p>
      <w:pPr>
        <w:spacing w:after="120" w:before="80"/>
      </w:pPr>
      <w:r>
        <w:rPr>
          <w:rFonts w:ascii="Arial" w:cs="Arial" w:eastAsia="Arial" w:hAnsi="Arial"/>
          <w:color w:val="1A1A1A"/>
          <w:sz w:val="22"/>
          <w:szCs w:val="22"/>
        </w:rPr>
        <w:t xml:space="preserve">Credibility in enterprise sales is earned, not claimed. The Record section exists to answer the specific question that every CIO, CISO, and procurement team will ask: 'Show me what you have actually built.' The answer is not a list of services. It is a 30-year track record of national-scale infrastructure projects. No competitor can replicate this section. It is the deepest moat on the site.</w:t>
      </w:r>
    </w:p>
    <w:p>
      <w:pPr>
        <w:spacing w:after="0" w:before="80"/>
      </w:pPr>
    </w:p>
    <w:p>
      <w:pPr>
        <w:pStyle w:val="Heading2"/>
        <w:spacing w:after="100" w:before="360"/>
      </w:pPr>
      <w:r>
        <w:rPr>
          <w:rFonts w:ascii="Arial" w:cs="Arial" w:eastAsia="Arial" w:hAnsi="Arial"/>
          <w:b/>
          <w:bCs/>
          <w:color w:val="1A1A1A"/>
          <w:sz w:val="26"/>
          <w:szCs w:val="26"/>
        </w:rPr>
        <w:t xml:space="preserve">Why the Thinking section is structured as a feed</w:t>
      </w:r>
    </w:p>
    <w:p>
      <w:pPr>
        <w:spacing w:after="120" w:before="80"/>
      </w:pPr>
      <w:r>
        <w:rPr>
          <w:rFonts w:ascii="Arial" w:cs="Arial" w:eastAsia="Arial" w:hAnsi="Arial"/>
          <w:color w:val="1A1A1A"/>
          <w:sz w:val="22"/>
          <w:szCs w:val="22"/>
        </w:rPr>
        <w:t xml:space="preserve">Enterprise decision-makers do not buy software. They buy conviction. The Thinking section exists to demonstrate, over time, that E-Group's team thinks clearly about the problems these buyers face. It is also the first section of the site that Rise will take over — generating Signal-level intelligence entries automatically, with human review before publish. Building the feed structure now means Rise can plug in without any rearchitecting.</w:t>
      </w:r>
    </w:p>
    <w:p>
      <w:pPr>
        <w:spacing w:after="0" w:before="80"/>
      </w:pPr>
    </w:p>
    <w:p>
      <w:pPr>
        <w:pStyle w:val="Heading1"/>
        <w:pBdr>
          <w:bottom w:val="single" w:color="C8A96E" w:sz="8" w:space="6"/>
        </w:pBdr>
        <w:spacing w:after="120" w:before="480"/>
      </w:pPr>
      <w:r>
        <w:rPr>
          <w:rFonts w:ascii="Arial" w:cs="Arial" w:eastAsia="Arial" w:hAnsi="Arial"/>
          <w:b/>
          <w:bCs/>
          <w:color w:val="1A1A1A"/>
          <w:sz w:val="36"/>
          <w:szCs w:val="36"/>
        </w:rPr>
        <w:t xml:space="preserve">06 — Rise Product Scope (V5 Summary)</w:t>
      </w:r>
    </w:p>
    <w:p>
      <w:pPr>
        <w:spacing w:after="120" w:before="80"/>
      </w:pPr>
      <w:r>
        <w:rPr>
          <w:rFonts w:ascii="Arial" w:cs="Arial" w:eastAsia="Arial" w:hAnsi="Arial"/>
          <w:color w:val="1A1A1A"/>
          <w:sz w:val="22"/>
          <w:szCs w:val="22"/>
        </w:rPr>
        <w:t xml:space="preserve">Rise is currently at Scope Version 5. Each version has built on the last. V5 introduced The Brain — Layer 0 — the unified knowledge graph that transforms Rise from a series of intelligent tools into a genuinely intelligent system.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656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20"/>
                <w:szCs w:val="20"/>
              </w:rPr>
              <w:t xml:space="preserve">What It Does</w:t>
            </w:r>
          </w:p>
        </w:tc>
      </w:tr>
      <w:tr>
        <w:tc>
          <w:tcPr>
            <w:tcW w:type="dxa" w:w="2800"/>
            <w:tcBorders>
              <w:top w:val="single" w:color="DDDDDD" w:sz="1"/>
              <w:left w:val="single" w:color="DDDDDD" w:sz="1"/>
              <w:bottom w:val="single" w:color="DDDDDD" w:sz="1"/>
              <w:right w:val="single" w:color="DDDDDD" w:sz="1"/>
            </w:tcBorders>
            <w:shd w:fill="F9F7F4" w:val="clear"/>
            <w:tcMar>
              <w:top w:type="dxa" w:w="100"/>
              <w:left w:type="dxa" w:w="160"/>
              <w:bottom w:type="dxa" w:w="100"/>
              <w:right w:type="dxa" w:w="160"/>
            </w:tcMar>
          </w:tcPr>
          <w:p>
            <w:r>
              <w:rPr>
                <w:rFonts w:ascii="Arial" w:cs="Arial" w:eastAsia="Arial" w:hAnsi="Arial"/>
                <w:b/>
                <w:bCs/>
                <w:color w:val="1A1A1A"/>
                <w:sz w:val="20"/>
                <w:szCs w:val="20"/>
              </w:rPr>
              <w:t xml:space="preserve">Layer 0 — The Brain</w:t>
            </w:r>
          </w:p>
        </w:tc>
        <w:tc>
          <w:tcPr>
            <w:tcW w:type="dxa" w:w="6560"/>
            <w:tcBorders>
              <w:top w:val="single" w:color="DDDDDD" w:sz="1"/>
              <w:left w:val="single" w:color="DDDDDD" w:sz="1"/>
              <w:bottom w:val="single" w:color="DDDDDD" w:sz="1"/>
              <w:right w:val="single" w:color="DDDDDD" w:sz="1"/>
            </w:tcBorders>
            <w:shd w:fill="F9F7F4" w:val="clear"/>
            <w:tcMar>
              <w:top w:type="dxa" w:w="100"/>
              <w:left w:type="dxa" w:w="160"/>
              <w:bottom w:type="dxa" w:w="100"/>
              <w:right w:type="dxa" w:w="160"/>
            </w:tcMar>
          </w:tcPr>
          <w:p>
            <w:r>
              <w:rPr>
                <w:rFonts w:ascii="Arial" w:cs="Arial" w:eastAsia="Arial" w:hAnsi="Arial"/>
                <w:color w:val="1A1A1A"/>
                <w:sz w:val="20"/>
                <w:szCs w:val="20"/>
              </w:rPr>
              <w:t xml:space="preserve">Unified knowledge graph. Neo4j + pgvector + Kafka. Normalises, connects, indexes, and signals across all data sources.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1A1A"/>
                <w:sz w:val="20"/>
                <w:szCs w:val="20"/>
              </w:rPr>
              <w:t xml:space="preserve">Layer 1 — Integration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Connector framework. 17 connectors. Internal: Teams, SharePoint, HR, CRM, Projects, Email, GitHub, Finance. External: Web, LinkedIn, Academic, News, Events, Regulatory.</w:t>
            </w:r>
          </w:p>
        </w:tc>
      </w:tr>
      <w:tr>
        <w:tc>
          <w:tcPr>
            <w:tcW w:type="dxa" w:w="2800"/>
            <w:tcBorders>
              <w:top w:val="single" w:color="DDDDDD" w:sz="1"/>
              <w:left w:val="single" w:color="DDDDDD" w:sz="1"/>
              <w:bottom w:val="single" w:color="DDDDDD" w:sz="1"/>
              <w:right w:val="single" w:color="DDDDDD" w:sz="1"/>
            </w:tcBorders>
            <w:shd w:fill="F9F7F4" w:val="clear"/>
            <w:tcMar>
              <w:top w:type="dxa" w:w="100"/>
              <w:left w:type="dxa" w:w="160"/>
              <w:bottom w:type="dxa" w:w="100"/>
              <w:right w:type="dxa" w:w="160"/>
            </w:tcMar>
          </w:tcPr>
          <w:p>
            <w:r>
              <w:rPr>
                <w:rFonts w:ascii="Arial" w:cs="Arial" w:eastAsia="Arial" w:hAnsi="Arial"/>
                <w:b/>
                <w:bCs/>
                <w:color w:val="1A1A1A"/>
                <w:sz w:val="20"/>
                <w:szCs w:val="20"/>
              </w:rPr>
              <w:t xml:space="preserve">Layer 2 — Capture</w:t>
            </w:r>
          </w:p>
        </w:tc>
        <w:tc>
          <w:tcPr>
            <w:tcW w:type="dxa" w:w="6560"/>
            <w:tcBorders>
              <w:top w:val="single" w:color="DDDDDD" w:sz="1"/>
              <w:left w:val="single" w:color="DDDDDD" w:sz="1"/>
              <w:bottom w:val="single" w:color="DDDDDD" w:sz="1"/>
              <w:right w:val="single" w:color="DDDDDD" w:sz="1"/>
            </w:tcBorders>
            <w:shd w:fill="F9F7F4" w:val="clear"/>
            <w:tcMar>
              <w:top w:type="dxa" w:w="100"/>
              <w:left w:type="dxa" w:w="160"/>
              <w:bottom w:type="dxa" w:w="100"/>
              <w:right w:type="dxa" w:w="160"/>
            </w:tcMar>
          </w:tcPr>
          <w:p>
            <w:r>
              <w:rPr>
                <w:rFonts w:ascii="Arial" w:cs="Arial" w:eastAsia="Arial" w:hAnsi="Arial"/>
                <w:color w:val="1A1A1A"/>
                <w:sz w:val="20"/>
                <w:szCs w:val="20"/>
              </w:rPr>
              <w:t xml:space="preserve">Real-time data ingestion. Live, continuous feeds. Not batch. Not nightly. Seconds from source to graph.</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1A1A"/>
                <w:sz w:val="20"/>
                <w:szCs w:val="20"/>
              </w:rPr>
              <w:t xml:space="preserve">Layer 3 — Rise Engine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Outward consciousness. Reads the world. Trigger detection, intelligence generation, delivery routing.</w:t>
            </w:r>
          </w:p>
        </w:tc>
      </w:tr>
      <w:tr>
        <w:tc>
          <w:tcPr>
            <w:tcW w:type="dxa" w:w="2800"/>
            <w:tcBorders>
              <w:top w:val="single" w:color="DDDDDD" w:sz="1"/>
              <w:left w:val="single" w:color="DDDDDD" w:sz="1"/>
              <w:bottom w:val="single" w:color="DDDDDD" w:sz="1"/>
              <w:right w:val="single" w:color="DDDDDD" w:sz="1"/>
            </w:tcBorders>
            <w:shd w:fill="F9F7F4" w:val="clear"/>
            <w:tcMar>
              <w:top w:type="dxa" w:w="100"/>
              <w:left w:type="dxa" w:w="160"/>
              <w:bottom w:type="dxa" w:w="100"/>
              <w:right w:type="dxa" w:w="160"/>
            </w:tcMar>
          </w:tcPr>
          <w:p>
            <w:r>
              <w:rPr>
                <w:rFonts w:ascii="Arial" w:cs="Arial" w:eastAsia="Arial" w:hAnsi="Arial"/>
                <w:b/>
                <w:bCs/>
                <w:color w:val="1A1A1A"/>
                <w:sz w:val="20"/>
                <w:szCs w:val="20"/>
              </w:rPr>
              <w:t xml:space="preserve">Layer 4 — Rise Agent</w:t>
            </w:r>
          </w:p>
        </w:tc>
        <w:tc>
          <w:tcPr>
            <w:tcW w:type="dxa" w:w="6560"/>
            <w:tcBorders>
              <w:top w:val="single" w:color="DDDDDD" w:sz="1"/>
              <w:left w:val="single" w:color="DDDDDD" w:sz="1"/>
              <w:bottom w:val="single" w:color="DDDDDD" w:sz="1"/>
              <w:right w:val="single" w:color="DDDDDD" w:sz="1"/>
            </w:tcBorders>
            <w:shd w:fill="F9F7F4" w:val="clear"/>
            <w:tcMar>
              <w:top w:type="dxa" w:w="100"/>
              <w:left w:type="dxa" w:w="160"/>
              <w:bottom w:type="dxa" w:w="100"/>
              <w:right w:type="dxa" w:w="160"/>
            </w:tcMar>
          </w:tcPr>
          <w:p>
            <w:r>
              <w:rPr>
                <w:rFonts w:ascii="Arial" w:cs="Arial" w:eastAsia="Arial" w:hAnsi="Arial"/>
                <w:color w:val="1A1A1A"/>
                <w:sz w:val="20"/>
                <w:szCs w:val="20"/>
              </w:rPr>
              <w:t xml:space="preserve">Automated pipeline. Fires when configured conditions are met. No human intervention required.</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1A1A"/>
                <w:sz w:val="20"/>
                <w:szCs w:val="20"/>
              </w:rPr>
              <w:t xml:space="preserve">Layer 5 — Essence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Inward consciousness. Reads the organisation. Anomaly detection, COO view, natural language query.</w:t>
            </w:r>
          </w:p>
        </w:tc>
      </w:tr>
    </w:tbl>
    <w:p>
      <w:pPr>
        <w:spacing w:after="0" w:before="160"/>
      </w:pPr>
    </w:p>
    <w:p>
      <w:pPr>
        <w:pStyle w:val="Heading2"/>
        <w:spacing w:after="100" w:before="360"/>
      </w:pPr>
      <w:r>
        <w:rPr>
          <w:rFonts w:ascii="Arial" w:cs="Arial" w:eastAsia="Arial" w:hAnsi="Arial"/>
          <w:b/>
          <w:bCs/>
          <w:color w:val="1A1A1A"/>
          <w:sz w:val="26"/>
          <w:szCs w:val="26"/>
        </w:rPr>
        <w:t xml:space="preserve">The Dual Consciousness</w:t>
      </w:r>
    </w:p>
    <w:p>
      <w:pPr>
        <w:spacing w:after="120" w:before="80"/>
      </w:pPr>
      <w:r>
        <w:rPr>
          <w:rFonts w:ascii="Arial" w:cs="Arial" w:eastAsia="Arial" w:hAnsi="Arial"/>
          <w:color w:val="1A1A1A"/>
          <w:sz w:val="22"/>
          <w:szCs w:val="22"/>
        </w:rPr>
        <w:t xml:space="preserve">Rise and Essence are two sides of the same intelligence platform. Rise looks outward — at markets, regulators, competitors, sector signals. Essence looks inward — at teams, projects, people, anomalies. Both query The Brain. Both generate intelligence without being asked. The intersection of what is happening inside the organisation and what is happening outside it is where the most valuable intelligence lives.</w:t>
      </w:r>
    </w:p>
    <w:p>
      <w:pPr>
        <w:spacing w:after="0" w:before="160"/>
      </w:pPr>
    </w:p>
    <w:p>
      <w:pPr>
        <w:pStyle w:val="Heading2"/>
        <w:spacing w:after="100" w:before="360"/>
      </w:pPr>
      <w:r>
        <w:rPr>
          <w:rFonts w:ascii="Arial" w:cs="Arial" w:eastAsia="Arial" w:hAnsi="Arial"/>
          <w:b/>
          <w:bCs/>
          <w:color w:val="1A1A1A"/>
          <w:sz w:val="26"/>
          <w:szCs w:val="26"/>
        </w:rPr>
        <w:t xml:space="preserve">The Build Team</w:t>
      </w:r>
    </w:p>
    <w:p>
      <w:pPr>
        <w:spacing w:after="120" w:before="80"/>
      </w:pPr>
      <w:r>
        <w:rPr>
          <w:rFonts w:ascii="Arial" w:cs="Arial" w:eastAsia="Arial" w:hAnsi="Arial"/>
          <w:color w:val="1A1A1A"/>
          <w:sz w:val="22"/>
          <w:szCs w:val="22"/>
        </w:rPr>
        <w:t xml:space="preserve">50 engineers from eGroup are building Rise to the Scope V5 specification. Chris Hoar (Konvergence) defines the product scope, designs the demos, and documents the build in the public Journal. The eGroup engineering team implements. The pilot client is eGroup itself — 110 staff, 30 years of institutional knowledge, five active sectors.</w:t>
      </w:r>
    </w:p>
    <w:p>
      <w:pPr>
        <w:spacing w:after="0" w:before="160"/>
      </w:pPr>
    </w:p>
    <w:p>
      <w:pPr>
        <w:pBdr>
          <w:bottom w:val="single" w:color="DDDDDD" w:sz="4" w:space="1"/>
        </w:pBdr>
        <w:spacing w:after="240" w:before="240"/>
      </w:pPr>
    </w:p>
    <w:p>
      <w:pPr>
        <w:pStyle w:val="Heading1"/>
        <w:pBdr>
          <w:bottom w:val="single" w:color="C8A96E" w:sz="8" w:space="6"/>
        </w:pBdr>
        <w:spacing w:after="120" w:before="480"/>
      </w:pPr>
      <w:r>
        <w:rPr>
          <w:rFonts w:ascii="Arial" w:cs="Arial" w:eastAsia="Arial" w:hAnsi="Arial"/>
          <w:b/>
          <w:bCs/>
          <w:color w:val="1A1A1A"/>
          <w:sz w:val="36"/>
          <w:szCs w:val="36"/>
        </w:rPr>
        <w:t xml:space="preserve">07 — Current Phase &amp; What Comes Next</w:t>
      </w:r>
    </w:p>
    <w:p>
      <w:pPr>
        <w:pStyle w:val="Heading2"/>
        <w:spacing w:after="100" w:before="360"/>
      </w:pPr>
      <w:r>
        <w:rPr>
          <w:rFonts w:ascii="Arial" w:cs="Arial" w:eastAsia="Arial" w:hAnsi="Arial"/>
          <w:b/>
          <w:bCs/>
          <w:color w:val="1A1A1A"/>
          <w:sz w:val="26"/>
          <w:szCs w:val="26"/>
        </w:rPr>
        <w:t xml:space="preserve">Now Complete</w:t>
      </w:r>
    </w:p>
    <w:p>
      <w:pPr>
        <w:pStyle w:val="ListParagraph"/>
        <w:numPr>
          <w:ilvl w:val="0"/>
          <w:numId w:val="2"/>
        </w:numPr>
        <w:spacing w:after="60" w:before="60"/>
      </w:pPr>
      <w:r>
        <w:rPr>
          <w:rFonts w:ascii="Arial" w:cs="Arial" w:eastAsia="Arial" w:hAnsi="Arial"/>
          <w:color w:val="1A1A1A"/>
          <w:sz w:val="22"/>
          <w:szCs w:val="22"/>
        </w:rPr>
        <w:t xml:space="preserve">Design system established and consistent across all pages</w:t>
      </w:r>
    </w:p>
    <w:p>
      <w:pPr>
        <w:pStyle w:val="ListParagraph"/>
        <w:numPr>
          <w:ilvl w:val="0"/>
          <w:numId w:val="2"/>
        </w:numPr>
        <w:spacing w:after="60" w:before="60"/>
      </w:pPr>
      <w:r>
        <w:rPr>
          <w:rFonts w:ascii="Arial" w:cs="Arial" w:eastAsia="Arial" w:hAnsi="Arial"/>
          <w:color w:val="1A1A1A"/>
          <w:sz w:val="22"/>
          <w:szCs w:val="22"/>
        </w:rPr>
        <w:t xml:space="preserve">Mobile navigation fixed and consistent across all pages</w:t>
      </w:r>
    </w:p>
    <w:p>
      <w:pPr>
        <w:pStyle w:val="ListParagraph"/>
        <w:numPr>
          <w:ilvl w:val="0"/>
          <w:numId w:val="2"/>
        </w:numPr>
        <w:spacing w:after="60" w:before="60"/>
      </w:pPr>
      <w:r>
        <w:rPr>
          <w:rFonts w:ascii="Arial" w:cs="Arial" w:eastAsia="Arial" w:hAnsi="Arial"/>
          <w:color w:val="1A1A1A"/>
          <w:sz w:val="22"/>
          <w:szCs w:val="22"/>
        </w:rPr>
        <w:t xml:space="preserve">5 working Rise/Essence demos deployed</w:t>
      </w:r>
    </w:p>
    <w:p>
      <w:pPr>
        <w:pStyle w:val="ListParagraph"/>
        <w:numPr>
          <w:ilvl w:val="0"/>
          <w:numId w:val="2"/>
        </w:numPr>
        <w:spacing w:after="60" w:before="60"/>
      </w:pPr>
      <w:r>
        <w:rPr>
          <w:rFonts w:ascii="Arial" w:cs="Arial" w:eastAsia="Arial" w:hAnsi="Arial"/>
          <w:color w:val="1A1A1A"/>
          <w:sz w:val="22"/>
          <w:szCs w:val="22"/>
        </w:rPr>
        <w:t xml:space="preserve">Build Journal — 4 entries live</w:t>
      </w:r>
    </w:p>
    <w:p>
      <w:pPr>
        <w:pStyle w:val="ListParagraph"/>
        <w:numPr>
          <w:ilvl w:val="0"/>
          <w:numId w:val="2"/>
        </w:numPr>
        <w:spacing w:after="60" w:before="60"/>
      </w:pPr>
      <w:r>
        <w:rPr>
          <w:rFonts w:ascii="Arial" w:cs="Arial" w:eastAsia="Arial" w:hAnsi="Arial"/>
          <w:color w:val="1A1A1A"/>
          <w:sz w:val="22"/>
          <w:szCs w:val="22"/>
        </w:rPr>
        <w:t xml:space="preserve">API key security — proxy files using .env, gitignored</w:t>
      </w:r>
    </w:p>
    <w:p>
      <w:pPr>
        <w:pStyle w:val="ListParagraph"/>
        <w:numPr>
          <w:ilvl w:val="0"/>
          <w:numId w:val="2"/>
        </w:numPr>
        <w:spacing w:after="60" w:before="60"/>
      </w:pPr>
      <w:r>
        <w:rPr>
          <w:rFonts w:ascii="Arial" w:cs="Arial" w:eastAsia="Arial" w:hAnsi="Arial"/>
          <w:color w:val="1A1A1A"/>
          <w:sz w:val="22"/>
          <w:szCs w:val="22"/>
        </w:rPr>
        <w:t xml:space="preserve">Rise Scope V5 — architecture locked</w:t>
      </w:r>
    </w:p>
    <w:p>
      <w:pPr>
        <w:spacing w:after="0" w:before="80"/>
      </w:pPr>
    </w:p>
    <w:p>
      <w:pPr>
        <w:pStyle w:val="Heading2"/>
        <w:spacing w:after="100" w:before="360"/>
      </w:pPr>
      <w:r>
        <w:rPr>
          <w:rFonts w:ascii="Arial" w:cs="Arial" w:eastAsia="Arial" w:hAnsi="Arial"/>
          <w:b/>
          <w:bCs/>
          <w:color w:val="1A1A1A"/>
          <w:sz w:val="26"/>
          <w:szCs w:val="26"/>
        </w:rPr>
        <w:t xml:space="preserve">In Active Build</w:t>
      </w:r>
    </w:p>
    <w:p>
      <w:pPr>
        <w:pStyle w:val="ListParagraph"/>
        <w:numPr>
          <w:ilvl w:val="0"/>
          <w:numId w:val="2"/>
        </w:numPr>
        <w:spacing w:after="60" w:before="60"/>
      </w:pPr>
      <w:r>
        <w:rPr>
          <w:rFonts w:ascii="Arial" w:cs="Arial" w:eastAsia="Arial" w:hAnsi="Arial"/>
          <w:color w:val="1A1A1A"/>
          <w:sz w:val="22"/>
          <w:szCs w:val="22"/>
        </w:rPr>
        <w:t xml:space="preserve">Full eGroup website with Rise integration hooks (data-rise-slot attributes on dynamic regions)</w:t>
      </w:r>
    </w:p>
    <w:p>
      <w:pPr>
        <w:pStyle w:val="ListParagraph"/>
        <w:numPr>
          <w:ilvl w:val="0"/>
          <w:numId w:val="2"/>
        </w:numPr>
        <w:spacing w:after="60" w:before="60"/>
      </w:pPr>
      <w:r>
        <w:rPr>
          <w:rFonts w:ascii="Arial" w:cs="Arial" w:eastAsia="Arial" w:hAnsi="Arial"/>
          <w:color w:val="1A1A1A"/>
          <w:sz w:val="22"/>
          <w:szCs w:val="22"/>
        </w:rPr>
        <w:t xml:space="preserve">Intelligence Products sector roadmap — FinTech, HealthTech, GovTech, SpaceTech, EnergyTech</w:t>
      </w:r>
    </w:p>
    <w:p>
      <w:pPr>
        <w:pStyle w:val="ListParagraph"/>
        <w:numPr>
          <w:ilvl w:val="0"/>
          <w:numId w:val="2"/>
        </w:numPr>
        <w:spacing w:after="60" w:before="60"/>
      </w:pPr>
      <w:r>
        <w:rPr>
          <w:rFonts w:ascii="Arial" w:cs="Arial" w:eastAsia="Arial" w:hAnsi="Arial"/>
          <w:color w:val="1A1A1A"/>
          <w:sz w:val="22"/>
          <w:szCs w:val="22"/>
        </w:rPr>
        <w:t xml:space="preserve">Journal entries 05+ in progress</w:t>
      </w:r>
    </w:p>
    <w:p>
      <w:pPr>
        <w:spacing w:after="0" w:before="80"/>
      </w:pPr>
    </w:p>
    <w:p>
      <w:pPr>
        <w:pStyle w:val="Heading2"/>
        <w:spacing w:after="100" w:before="360"/>
      </w:pPr>
      <w:r>
        <w:rPr>
          <w:rFonts w:ascii="Arial" w:cs="Arial" w:eastAsia="Arial" w:hAnsi="Arial"/>
          <w:b/>
          <w:bCs/>
          <w:color w:val="1A1A1A"/>
          <w:sz w:val="26"/>
          <w:szCs w:val="26"/>
        </w:rPr>
        <w:t xml:space="preserve">Next — Rise Feeds The Website</w:t>
      </w:r>
    </w:p>
    <w:p>
      <w:pPr>
        <w:pStyle w:val="ListParagraph"/>
        <w:numPr>
          <w:ilvl w:val="0"/>
          <w:numId w:val="2"/>
        </w:numPr>
        <w:spacing w:after="60" w:before="60"/>
      </w:pPr>
      <w:r>
        <w:rPr>
          <w:rFonts w:ascii="Arial" w:cs="Arial" w:eastAsia="Arial" w:hAnsi="Arial"/>
          <w:color w:val="1A1A1A"/>
          <w:sz w:val="22"/>
          <w:szCs w:val="22"/>
        </w:rPr>
        <w:t xml:space="preserve">Every dynamic region of the site has a data-rise-slot attribute and a REST endpoint</w:t>
      </w:r>
    </w:p>
    <w:p>
      <w:pPr>
        <w:pStyle w:val="ListParagraph"/>
        <w:numPr>
          <w:ilvl w:val="0"/>
          <w:numId w:val="2"/>
        </w:numPr>
        <w:spacing w:after="60" w:before="60"/>
      </w:pPr>
      <w:r>
        <w:rPr>
          <w:rFonts w:ascii="Arial" w:cs="Arial" w:eastAsia="Arial" w:hAnsi="Arial"/>
          <w:color w:val="1A1A1A"/>
          <w:sz w:val="22"/>
          <w:szCs w:val="22"/>
        </w:rPr>
        <w:t xml:space="preserve">Rise begins generating Signal entries and feeding the Thinking page automatically</w:t>
      </w:r>
    </w:p>
    <w:p>
      <w:pPr>
        <w:pStyle w:val="ListParagraph"/>
        <w:numPr>
          <w:ilvl w:val="0"/>
          <w:numId w:val="2"/>
        </w:numPr>
        <w:spacing w:after="60" w:before="60"/>
      </w:pPr>
      <w:r>
        <w:rPr>
          <w:rFonts w:ascii="Arial" w:cs="Arial" w:eastAsia="Arial" w:hAnsi="Arial"/>
          <w:color w:val="1A1A1A"/>
          <w:sz w:val="22"/>
          <w:szCs w:val="22"/>
        </w:rPr>
        <w:t xml:space="preserve">Humans review before publish — editorial gate maintained</w:t>
      </w:r>
    </w:p>
    <w:p>
      <w:pPr>
        <w:pStyle w:val="ListParagraph"/>
        <w:numPr>
          <w:ilvl w:val="0"/>
          <w:numId w:val="2"/>
        </w:numPr>
        <w:spacing w:after="60" w:before="60"/>
      </w:pPr>
      <w:r>
        <w:rPr>
          <w:rFonts w:ascii="Arial" w:cs="Arial" w:eastAsia="Arial" w:hAnsi="Arial"/>
          <w:color w:val="1A1A1A"/>
          <w:sz w:val="22"/>
          <w:szCs w:val="22"/>
        </w:rPr>
        <w:t xml:space="preserve">Rise becomes the primary author of the Thinking feed</w:t>
      </w:r>
    </w:p>
    <w:p>
      <w:pPr>
        <w:pStyle w:val="ListParagraph"/>
        <w:numPr>
          <w:ilvl w:val="0"/>
          <w:numId w:val="2"/>
        </w:numPr>
        <w:spacing w:after="60" w:before="60"/>
      </w:pPr>
      <w:r>
        <w:rPr>
          <w:rFonts w:ascii="Arial" w:cs="Arial" w:eastAsia="Arial" w:hAnsi="Arial"/>
          <w:color w:val="1A1A1A"/>
          <w:sz w:val="22"/>
          <w:szCs w:val="22"/>
        </w:rPr>
        <w:t xml:space="preserve">Homepage pulse updates autonomously</w:t>
      </w:r>
    </w:p>
    <w:p>
      <w:pPr>
        <w:pStyle w:val="ListParagraph"/>
        <w:numPr>
          <w:ilvl w:val="0"/>
          <w:numId w:val="2"/>
        </w:numPr>
        <w:spacing w:after="60" w:before="60"/>
      </w:pPr>
      <w:r>
        <w:rPr>
          <w:rFonts w:ascii="Arial" w:cs="Arial" w:eastAsia="Arial" w:hAnsi="Arial"/>
          <w:color w:val="1A1A1A"/>
          <w:sz w:val="22"/>
          <w:szCs w:val="22"/>
        </w:rPr>
        <w:t xml:space="preserve">Founding Voice contributors permanently credited in the feed</w:t>
      </w:r>
    </w:p>
    <w:p>
      <w:pPr>
        <w:spacing w:after="0" w:before="80"/>
      </w:pPr>
    </w:p>
    <w:p>
      <w:pPr>
        <w:pStyle w:val="Heading2"/>
        <w:spacing w:after="100" w:before="360"/>
      </w:pPr>
      <w:r>
        <w:rPr>
          <w:rFonts w:ascii="Arial" w:cs="Arial" w:eastAsia="Arial" w:hAnsi="Arial"/>
          <w:b/>
          <w:bCs/>
          <w:color w:val="1A1A1A"/>
          <w:sz w:val="26"/>
          <w:szCs w:val="26"/>
        </w:rPr>
        <w:t xml:space="preserve">Future — Rise Runs The Website</w:t>
      </w:r>
    </w:p>
    <w:p>
      <w:pPr>
        <w:pStyle w:val="ListParagraph"/>
        <w:numPr>
          <w:ilvl w:val="0"/>
          <w:numId w:val="2"/>
        </w:numPr>
        <w:spacing w:after="60" w:before="60"/>
      </w:pPr>
      <w:r>
        <w:rPr>
          <w:rFonts w:ascii="Arial" w:cs="Arial" w:eastAsia="Arial" w:hAnsi="Arial"/>
          <w:color w:val="1A1A1A"/>
          <w:sz w:val="22"/>
          <w:szCs w:val="22"/>
        </w:rPr>
        <w:t xml:space="preserve">Rise becomes the primary operational intelligence layer for the site</w:t>
      </w:r>
    </w:p>
    <w:p>
      <w:pPr>
        <w:pStyle w:val="ListParagraph"/>
        <w:numPr>
          <w:ilvl w:val="0"/>
          <w:numId w:val="2"/>
        </w:numPr>
        <w:spacing w:after="60" w:before="60"/>
      </w:pPr>
      <w:r>
        <w:rPr>
          <w:rFonts w:ascii="Arial" w:cs="Arial" w:eastAsia="Arial" w:hAnsi="Arial"/>
          <w:color w:val="1A1A1A"/>
          <w:sz w:val="22"/>
          <w:szCs w:val="22"/>
        </w:rPr>
        <w:t xml:space="preserve">Intelligence Products launch for pilot enterprise customers</w:t>
      </w:r>
    </w:p>
    <w:p>
      <w:pPr>
        <w:pStyle w:val="ListParagraph"/>
        <w:numPr>
          <w:ilvl w:val="0"/>
          <w:numId w:val="2"/>
        </w:numPr>
        <w:spacing w:after="60" w:before="60"/>
      </w:pPr>
      <w:r>
        <w:rPr>
          <w:rFonts w:ascii="Arial" w:cs="Arial" w:eastAsia="Arial" w:hAnsi="Arial"/>
          <w:color w:val="1A1A1A"/>
          <w:sz w:val="22"/>
          <w:szCs w:val="22"/>
        </w:rPr>
        <w:t xml:space="preserve">Sector-specific deployments across FinTech, HealthTech, GovTech</w:t>
      </w:r>
    </w:p>
    <w:p>
      <w:pPr>
        <w:pStyle w:val="ListParagraph"/>
        <w:numPr>
          <w:ilvl w:val="0"/>
          <w:numId w:val="2"/>
        </w:numPr>
        <w:spacing w:after="60" w:before="60"/>
      </w:pPr>
      <w:r>
        <w:rPr>
          <w:rFonts w:ascii="Arial" w:cs="Arial" w:eastAsia="Arial" w:hAnsi="Arial"/>
          <w:color w:val="1A1A1A"/>
          <w:sz w:val="22"/>
          <w:szCs w:val="22"/>
        </w:rPr>
        <w:t xml:space="preserve">Commercial partnership programme opens</w:t>
      </w:r>
    </w:p>
    <w:p>
      <w:pPr>
        <w:spacing w:after="0" w:before="160"/>
      </w:pPr>
    </w:p>
    <w:p>
      <w:pPr>
        <w:pBdr>
          <w:bottom w:val="single" w:color="DDDDDD" w:sz="4" w:space="1"/>
        </w:pBdr>
        <w:spacing w:after="240" w:before="240"/>
      </w:pPr>
    </w:p>
    <w:p>
      <w:pPr>
        <w:pStyle w:val="Heading1"/>
        <w:pBdr>
          <w:bottom w:val="single" w:color="C8A96E" w:sz="8" w:space="6"/>
        </w:pBdr>
        <w:spacing w:after="120" w:before="480"/>
      </w:pPr>
      <w:r>
        <w:rPr>
          <w:rFonts w:ascii="Arial" w:cs="Arial" w:eastAsia="Arial" w:hAnsi="Arial"/>
          <w:b/>
          <w:bCs/>
          <w:color w:val="1A1A1A"/>
          <w:sz w:val="36"/>
          <w:szCs w:val="36"/>
        </w:rPr>
        <w:t xml:space="preserve">08 — What Success Looks Like</w:t>
      </w:r>
    </w:p>
    <w:p>
      <w:pPr>
        <w:spacing w:after="120" w:before="80"/>
      </w:pPr>
      <w:r>
        <w:rPr>
          <w:rFonts w:ascii="Arial" w:cs="Arial" w:eastAsia="Arial" w:hAnsi="Arial"/>
          <w:color w:val="1A1A1A"/>
          <w:sz w:val="22"/>
          <w:szCs w:val="22"/>
        </w:rPr>
        <w:t xml:space="preserve">At this stage, success is not traffic or leads. Success is credibility and readiness.</w:t>
      </w:r>
    </w:p>
    <w:p>
      <w:pPr>
        <w:spacing w:after="0" w:before="80"/>
      </w:pPr>
    </w:p>
    <w:p>
      <w:pPr>
        <w:pStyle w:val="ListParagraph"/>
        <w:numPr>
          <w:ilvl w:val="0"/>
          <w:numId w:val="2"/>
        </w:numPr>
        <w:spacing w:after="60" w:before="60"/>
      </w:pPr>
      <w:r>
        <w:rPr>
          <w:rFonts w:ascii="Arial" w:cs="Arial" w:eastAsia="Arial" w:hAnsi="Arial"/>
          <w:color w:val="1A1A1A"/>
          <w:sz w:val="22"/>
          <w:szCs w:val="22"/>
        </w:rPr>
        <w:t xml:space="preserve">A serious enterprise decision-maker lands on this site and immediately understands that E-Group is not a startup, not a vendor, and not an AI hype machine — it is a 30-year institution making a deliberate move into the AI era.</w:t>
      </w:r>
    </w:p>
    <w:p>
      <w:pPr>
        <w:pStyle w:val="ListParagraph"/>
        <w:numPr>
          <w:ilvl w:val="0"/>
          <w:numId w:val="2"/>
        </w:numPr>
        <w:spacing w:after="60" w:before="60"/>
      </w:pPr>
      <w:r>
        <w:rPr>
          <w:rFonts w:ascii="Arial" w:cs="Arial" w:eastAsia="Arial" w:hAnsi="Arial"/>
          <w:color w:val="1A1A1A"/>
          <w:sz w:val="22"/>
          <w:szCs w:val="22"/>
        </w:rPr>
        <w:t xml:space="preserve">The Record section closes the credibility gap instantly — no competitor can point to this kind of verified, national-scale track record.</w:t>
      </w:r>
    </w:p>
    <w:p>
      <w:pPr>
        <w:pStyle w:val="ListParagraph"/>
        <w:numPr>
          <w:ilvl w:val="0"/>
          <w:numId w:val="2"/>
        </w:numPr>
        <w:spacing w:after="60" w:before="60"/>
      </w:pPr>
      <w:r>
        <w:rPr>
          <w:rFonts w:ascii="Arial" w:cs="Arial" w:eastAsia="Arial" w:hAnsi="Arial"/>
          <w:color w:val="1A1A1A"/>
          <w:sz w:val="22"/>
          <w:szCs w:val="22"/>
        </w:rPr>
        <w:t xml:space="preserve">The Rise demos prove the product works. Not a pitch deck. Running code.</w:t>
      </w:r>
    </w:p>
    <w:p>
      <w:pPr>
        <w:pStyle w:val="ListParagraph"/>
        <w:numPr>
          <w:ilvl w:val="0"/>
          <w:numId w:val="2"/>
        </w:numPr>
        <w:spacing w:after="60" w:before="60"/>
      </w:pPr>
      <w:r>
        <w:rPr>
          <w:rFonts w:ascii="Arial" w:cs="Arial" w:eastAsia="Arial" w:hAnsi="Arial"/>
          <w:color w:val="1A1A1A"/>
          <w:sz w:val="22"/>
          <w:szCs w:val="22"/>
        </w:rPr>
        <w:t xml:space="preserve">The Thinking section begins building a body of domain expertise in public — demonstrating E-Group's thinking to the people who matter.</w:t>
      </w:r>
    </w:p>
    <w:p>
      <w:pPr>
        <w:pStyle w:val="ListParagraph"/>
        <w:numPr>
          <w:ilvl w:val="0"/>
          <w:numId w:val="2"/>
        </w:numPr>
        <w:spacing w:after="60" w:before="60"/>
      </w:pPr>
      <w:r>
        <w:rPr>
          <w:rFonts w:ascii="Arial" w:cs="Arial" w:eastAsia="Arial" w:hAnsi="Arial"/>
          <w:color w:val="1A1A1A"/>
          <w:sz w:val="22"/>
          <w:szCs w:val="22"/>
        </w:rPr>
        <w:t xml:space="preserve">The site architecture is ready for Rise to take over content generation — the infrastructure for AI-authored content is already built in.</w:t>
      </w:r>
    </w:p>
    <w:p>
      <w:pPr>
        <w:pStyle w:val="ListParagraph"/>
        <w:numPr>
          <w:ilvl w:val="0"/>
          <w:numId w:val="2"/>
        </w:numPr>
        <w:spacing w:after="60" w:before="60"/>
      </w:pPr>
      <w:r>
        <w:rPr>
          <w:rFonts w:ascii="Arial" w:cs="Arial" w:eastAsia="Arial" w:hAnsi="Arial"/>
          <w:color w:val="1A1A1A"/>
          <w:sz w:val="22"/>
          <w:szCs w:val="22"/>
        </w:rPr>
        <w:t xml:space="preserve">The build is clean — no exposed API keys, proper gitignore, documented architecture, live journal.</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6E" w:sz="12"/>
              <w:left w:val="single" w:color="DDDDDD" w:sz="1"/>
              <w:bottom w:val="single" w:color="DDDDDD" w:sz="1"/>
              <w:right w:val="single" w:color="DDDDDD" w:sz="1"/>
            </w:tcBorders>
            <w:shd w:fill="F9F7F4" w:val="clear"/>
            <w:tcMar>
              <w:top w:type="dxa" w:w="160"/>
              <w:left w:type="dxa" w:w="240"/>
              <w:bottom w:type="dxa" w:w="160"/>
              <w:right w:type="dxa" w:w="240"/>
            </w:tcMar>
          </w:tcPr>
          <w:p>
            <w:pPr>
              <w:spacing w:after="60" w:before="60"/>
            </w:pPr>
            <w:r>
              <w:rPr>
                <w:rFonts w:ascii="Arial" w:cs="Arial" w:eastAsia="Arial" w:hAnsi="Arial"/>
                <w:i/>
                <w:iCs/>
                <w:color w:val="1A1A1A"/>
                <w:sz w:val="22"/>
                <w:szCs w:val="22"/>
              </w:rPr>
              <w:t xml:space="preserve">"We do not talk about building trust infrastructure — we have been doing it, at national scale, for three decades."</w:t>
            </w:r>
          </w:p>
          <w:p>
            <w:pPr>
              <w:spacing w:after="60" w:before="60"/>
            </w:pPr>
            <w:r>
              <w:rPr>
                <w:rFonts w:ascii="Arial" w:cs="Arial" w:eastAsia="Arial" w:hAnsi="Arial"/>
                <w:i w:val="false"/>
                <w:iCs w:val="false"/>
                <w:color w:val="1A1A1A"/>
                <w:sz w:val="22"/>
                <w:szCs w:val="22"/>
              </w:rPr>
              <w:t xml:space="preserve">— E-Group Website, The Record section</w:t>
            </w:r>
          </w:p>
        </w:tc>
      </w:tr>
    </w:tbl>
    <w:p>
      <w:pPr>
        <w:spacing w:after="0" w:before="160"/>
      </w:pPr>
    </w:p>
    <w:p>
      <w:pPr>
        <w:pBdr>
          <w:bottom w:val="single" w:color="DDDDDD" w:sz="4" w:space="1"/>
        </w:pBdr>
        <w:spacing w:after="240" w:before="240"/>
      </w:pPr>
    </w:p>
    <w:p>
      <w:pPr>
        <w:pStyle w:val="Heading1"/>
        <w:pBdr>
          <w:bottom w:val="single" w:color="C8A96E" w:sz="8" w:space="6"/>
        </w:pBdr>
        <w:spacing w:after="120" w:before="480"/>
      </w:pPr>
      <w:r>
        <w:rPr>
          <w:rFonts w:ascii="Arial" w:cs="Arial" w:eastAsia="Arial" w:hAnsi="Arial"/>
          <w:b/>
          <w:bCs/>
          <w:color w:val="1A1A1A"/>
          <w:sz w:val="36"/>
          <w:szCs w:val="36"/>
        </w:rPr>
        <w:t xml:space="preserve">09 — Technical &amp; Operational Notes</w:t>
      </w:r>
    </w:p>
    <w:p>
      <w:pPr>
        <w:pStyle w:val="Heading2"/>
        <w:spacing w:after="100" w:before="360"/>
      </w:pPr>
      <w:r>
        <w:rPr>
          <w:rFonts w:ascii="Arial" w:cs="Arial" w:eastAsia="Arial" w:hAnsi="Arial"/>
          <w:b/>
          <w:bCs/>
          <w:color w:val="1A1A1A"/>
          <w:sz w:val="26"/>
          <w:szCs w:val="26"/>
        </w:rPr>
        <w:t xml:space="preserve">Repository</w:t>
      </w:r>
    </w:p>
    <w:p>
      <w:pPr>
        <w:spacing w:after="60" w:before="60"/>
      </w:pPr>
      <w:r>
        <w:rPr>
          <w:rFonts w:ascii="Arial" w:cs="Arial" w:eastAsia="Arial" w:hAnsi="Arial"/>
          <w:b/>
          <w:bCs/>
          <w:color w:val="1A1A1A"/>
          <w:sz w:val="22"/>
          <w:szCs w:val="22"/>
        </w:rPr>
        <w:t xml:space="preserve">Repo: </w:t>
      </w:r>
      <w:r>
        <w:rPr>
          <w:rFonts w:ascii="Arial" w:cs="Arial" w:eastAsia="Arial" w:hAnsi="Arial"/>
          <w:color w:val="555555"/>
          <w:sz w:val="22"/>
          <w:szCs w:val="22"/>
        </w:rPr>
        <w:t xml:space="preserve">github.com/hoarhouse/v3</w:t>
      </w:r>
    </w:p>
    <w:p>
      <w:pPr>
        <w:spacing w:after="60" w:before="60"/>
      </w:pPr>
      <w:r>
        <w:rPr>
          <w:rFonts w:ascii="Arial" w:cs="Arial" w:eastAsia="Arial" w:hAnsi="Arial"/>
          <w:b/>
          <w:bCs/>
          <w:color w:val="1A1A1A"/>
          <w:sz w:val="22"/>
          <w:szCs w:val="22"/>
        </w:rPr>
        <w:t xml:space="preserve">Live path: </w:t>
      </w:r>
      <w:r>
        <w:rPr>
          <w:rFonts w:ascii="Arial" w:cs="Arial" w:eastAsia="Arial" w:hAnsi="Arial"/>
          <w:color w:val="555555"/>
          <w:sz w:val="22"/>
          <w:szCs w:val="22"/>
        </w:rPr>
        <w:t xml:space="preserve">rise/</w:t>
      </w:r>
    </w:p>
    <w:p>
      <w:pPr>
        <w:spacing w:after="60" w:before="60"/>
      </w:pPr>
      <w:r>
        <w:rPr>
          <w:rFonts w:ascii="Arial" w:cs="Arial" w:eastAsia="Arial" w:hAnsi="Arial"/>
          <w:b/>
          <w:bCs/>
          <w:color w:val="1A1A1A"/>
          <w:sz w:val="22"/>
          <w:szCs w:val="22"/>
        </w:rPr>
        <w:t xml:space="preserve">Hosted: </w:t>
      </w:r>
      <w:r>
        <w:rPr>
          <w:rFonts w:ascii="Arial" w:cs="Arial" w:eastAsia="Arial" w:hAnsi="Arial"/>
          <w:color w:val="555555"/>
          <w:sz w:val="22"/>
          <w:szCs w:val="22"/>
        </w:rPr>
        <w:t xml:space="preserve">GitHub Pages — hoarhouse.github.io/v3/rise/</w:t>
      </w:r>
    </w:p>
    <w:p>
      <w:pPr>
        <w:spacing w:after="60" w:before="60"/>
      </w:pPr>
      <w:r>
        <w:rPr>
          <w:rFonts w:ascii="Arial" w:cs="Arial" w:eastAsia="Arial" w:hAnsi="Arial"/>
          <w:b/>
          <w:bCs/>
          <w:color w:val="1A1A1A"/>
          <w:sz w:val="22"/>
          <w:szCs w:val="22"/>
        </w:rPr>
        <w:t xml:space="preserve">Journal: </w:t>
      </w:r>
      <w:r>
        <w:rPr>
          <w:rFonts w:ascii="Arial" w:cs="Arial" w:eastAsia="Arial" w:hAnsi="Arial"/>
          <w:color w:val="555555"/>
          <w:sz w:val="22"/>
          <w:szCs w:val="22"/>
        </w:rPr>
        <w:t xml:space="preserve">hoarhouse.github.io/v3/journal/</w:t>
      </w:r>
    </w:p>
    <w:p>
      <w:pPr>
        <w:spacing w:after="60" w:before="60"/>
      </w:pPr>
      <w:r>
        <w:rPr>
          <w:rFonts w:ascii="Arial" w:cs="Arial" w:eastAsia="Arial" w:hAnsi="Arial"/>
          <w:b/>
          <w:bCs/>
          <w:color w:val="1A1A1A"/>
          <w:sz w:val="22"/>
          <w:szCs w:val="22"/>
        </w:rPr>
        <w:t xml:space="preserve">Backup: </w:t>
      </w:r>
      <w:r>
        <w:rPr>
          <w:rFonts w:ascii="Arial" w:cs="Arial" w:eastAsia="Arial" w:hAnsi="Arial"/>
          <w:color w:val="555555"/>
          <w:sz w:val="22"/>
          <w:szCs w:val="22"/>
        </w:rPr>
        <w:t xml:space="preserve">rise_backup_YYYYMMDD — created before major sessions</w:t>
      </w:r>
    </w:p>
    <w:p>
      <w:pPr>
        <w:spacing w:after="0" w:before="80"/>
      </w:pPr>
    </w:p>
    <w:p>
      <w:pPr>
        <w:pStyle w:val="Heading2"/>
        <w:spacing w:after="100" w:before="360"/>
      </w:pPr>
      <w:r>
        <w:rPr>
          <w:rFonts w:ascii="Arial" w:cs="Arial" w:eastAsia="Arial" w:hAnsi="Arial"/>
          <w:b/>
          <w:bCs/>
          <w:color w:val="1A1A1A"/>
          <w:sz w:val="26"/>
          <w:szCs w:val="26"/>
        </w:rPr>
        <w:t xml:space="preserve">Security</w:t>
      </w:r>
    </w:p>
    <w:p>
      <w:pPr>
        <w:spacing w:after="60" w:before="60"/>
      </w:pPr>
      <w:r>
        <w:rPr>
          <w:rFonts w:ascii="Arial" w:cs="Arial" w:eastAsia="Arial" w:hAnsi="Arial"/>
          <w:b/>
          <w:bCs/>
          <w:color w:val="1A1A1A"/>
          <w:sz w:val="22"/>
          <w:szCs w:val="22"/>
        </w:rPr>
        <w:t xml:space="preserve">API keys: </w:t>
      </w:r>
      <w:r>
        <w:rPr>
          <w:rFonts w:ascii="Arial" w:cs="Arial" w:eastAsia="Arial" w:hAnsi="Arial"/>
          <w:color w:val="555555"/>
          <w:sz w:val="22"/>
          <w:szCs w:val="22"/>
        </w:rPr>
        <w:t xml:space="preserve">Stored in rise/demos/.env — gitignored</w:t>
      </w:r>
    </w:p>
    <w:p>
      <w:pPr>
        <w:spacing w:after="60" w:before="60"/>
      </w:pPr>
      <w:r>
        <w:rPr>
          <w:rFonts w:ascii="Arial" w:cs="Arial" w:eastAsia="Arial" w:hAnsi="Arial"/>
          <w:b/>
          <w:bCs/>
          <w:color w:val="1A1A1A"/>
          <w:sz w:val="22"/>
          <w:szCs w:val="22"/>
        </w:rPr>
        <w:t xml:space="preserve">Proxy files: </w:t>
      </w:r>
      <w:r>
        <w:rPr>
          <w:rFonts w:ascii="Arial" w:cs="Arial" w:eastAsia="Arial" w:hAnsi="Arial"/>
          <w:color w:val="555555"/>
          <w:sz w:val="22"/>
          <w:szCs w:val="22"/>
        </w:rPr>
        <w:t xml:space="preserve">rise/demos/proxy.js and proxy2.js — gitignored</w:t>
      </w:r>
    </w:p>
    <w:p>
      <w:pPr>
        <w:spacing w:after="60" w:before="60"/>
      </w:pPr>
      <w:r>
        <w:rPr>
          <w:rFonts w:ascii="Arial" w:cs="Arial" w:eastAsia="Arial" w:hAnsi="Arial"/>
          <w:b/>
          <w:bCs/>
          <w:color w:val="1A1A1A"/>
          <w:sz w:val="22"/>
          <w:szCs w:val="22"/>
        </w:rPr>
        <w:t xml:space="preserve">Claude settings: </w:t>
      </w:r>
      <w:r>
        <w:rPr>
          <w:rFonts w:ascii="Arial" w:cs="Arial" w:eastAsia="Arial" w:hAnsi="Arial"/>
          <w:color w:val="555555"/>
          <w:sz w:val="22"/>
          <w:szCs w:val="22"/>
        </w:rPr>
        <w:t xml:space="preserve">**/.claude/ — gitignored</w:t>
      </w:r>
    </w:p>
    <w:p>
      <w:pPr>
        <w:spacing w:after="60" w:before="60"/>
      </w:pPr>
      <w:r>
        <w:rPr>
          <w:rFonts w:ascii="Arial" w:cs="Arial" w:eastAsia="Arial" w:hAnsi="Arial"/>
          <w:b/>
          <w:bCs/>
          <w:color w:val="1A1A1A"/>
          <w:sz w:val="22"/>
          <w:szCs w:val="22"/>
        </w:rPr>
        <w:t xml:space="preserve">Backup folders: </w:t>
      </w:r>
      <w:r>
        <w:rPr>
          <w:rFonts w:ascii="Arial" w:cs="Arial" w:eastAsia="Arial" w:hAnsi="Arial"/>
          <w:color w:val="555555"/>
          <w:sz w:val="22"/>
          <w:szCs w:val="22"/>
        </w:rPr>
        <w:t xml:space="preserve">rise_backup_*/ — gitignored</w:t>
      </w:r>
    </w:p>
    <w:p>
      <w:pPr>
        <w:spacing w:after="60" w:before="60"/>
      </w:pPr>
      <w:r>
        <w:rPr>
          <w:rFonts w:ascii="Arial" w:cs="Arial" w:eastAsia="Arial" w:hAnsi="Arial"/>
          <w:b/>
          <w:bCs/>
          <w:color w:val="1A1A1A"/>
          <w:sz w:val="22"/>
          <w:szCs w:val="22"/>
        </w:rPr>
        <w:t xml:space="preserve">Key rotation: </w:t>
      </w:r>
      <w:r>
        <w:rPr>
          <w:rFonts w:ascii="Arial" w:cs="Arial" w:eastAsia="Arial" w:hAnsi="Arial"/>
          <w:color w:val="555555"/>
          <w:sz w:val="22"/>
          <w:szCs w:val="22"/>
        </w:rPr>
        <w:t xml:space="preserve">Rotate at console.anthropic.com/settings/keys after any exposure</w:t>
      </w:r>
    </w:p>
    <w:p>
      <w:pPr>
        <w:spacing w:after="0" w:before="80"/>
      </w:pPr>
    </w:p>
    <w:p>
      <w:pPr>
        <w:pStyle w:val="Heading2"/>
        <w:spacing w:after="100" w:before="360"/>
      </w:pPr>
      <w:r>
        <w:rPr>
          <w:rFonts w:ascii="Arial" w:cs="Arial" w:eastAsia="Arial" w:hAnsi="Arial"/>
          <w:b/>
          <w:bCs/>
          <w:color w:val="1A1A1A"/>
          <w:sz w:val="26"/>
          <w:szCs w:val="26"/>
        </w:rPr>
        <w:t xml:space="preserve">Build Rules</w:t>
      </w:r>
    </w:p>
    <w:p>
      <w:pPr>
        <w:pStyle w:val="ListParagraph"/>
        <w:numPr>
          <w:ilvl w:val="0"/>
          <w:numId w:val="2"/>
        </w:numPr>
        <w:spacing w:after="60" w:before="60"/>
      </w:pPr>
      <w:r>
        <w:rPr>
          <w:rFonts w:ascii="Arial" w:cs="Arial" w:eastAsia="Arial" w:hAnsi="Arial"/>
          <w:color w:val="1A1A1A"/>
          <w:sz w:val="22"/>
          <w:szCs w:val="22"/>
        </w:rPr>
        <w:t xml:space="preserve">All edits via str_replace only — never regenerate or replace CSS blocks</w:t>
      </w:r>
    </w:p>
    <w:p>
      <w:pPr>
        <w:pStyle w:val="ListParagraph"/>
        <w:numPr>
          <w:ilvl w:val="0"/>
          <w:numId w:val="2"/>
        </w:numPr>
        <w:spacing w:after="60" w:before="60"/>
      </w:pPr>
      <w:r>
        <w:rPr>
          <w:rFonts w:ascii="Arial" w:cs="Arial" w:eastAsia="Arial" w:hAnsi="Arial"/>
          <w:color w:val="1A1A1A"/>
          <w:sz w:val="22"/>
          <w:szCs w:val="22"/>
        </w:rPr>
        <w:t xml:space="preserve">Never touch working functionality — minimal, surgical fixes only</w:t>
      </w:r>
    </w:p>
    <w:p>
      <w:pPr>
        <w:pStyle w:val="ListParagraph"/>
        <w:numPr>
          <w:ilvl w:val="0"/>
          <w:numId w:val="2"/>
        </w:numPr>
        <w:spacing w:after="60" w:before="60"/>
      </w:pPr>
      <w:r>
        <w:rPr>
          <w:rFonts w:ascii="Arial" w:cs="Arial" w:eastAsia="Arial" w:hAnsi="Arial"/>
          <w:color w:val="1A1A1A"/>
          <w:sz w:val="22"/>
          <w:szCs w:val="22"/>
        </w:rPr>
        <w:t xml:space="preserve">Check divs_open == divs_close and file ends &lt;/html&gt; before presenting any file</w:t>
      </w:r>
    </w:p>
    <w:p>
      <w:pPr>
        <w:pStyle w:val="ListParagraph"/>
        <w:numPr>
          <w:ilvl w:val="0"/>
          <w:numId w:val="2"/>
        </w:numPr>
        <w:spacing w:after="60" w:before="60"/>
      </w:pPr>
      <w:r>
        <w:rPr>
          <w:rFonts w:ascii="Arial" w:cs="Arial" w:eastAsia="Arial" w:hAnsi="Arial"/>
          <w:color w:val="1A1A1A"/>
          <w:sz w:val="22"/>
          <w:szCs w:val="22"/>
        </w:rPr>
        <w:t xml:space="preserve">Style block must be &gt;15,000 chars on main pages, &gt;10,000 on record pages — if under, CSS is missing</w:t>
      </w:r>
    </w:p>
    <w:p>
      <w:pPr>
        <w:pStyle w:val="ListParagraph"/>
        <w:numPr>
          <w:ilvl w:val="0"/>
          <w:numId w:val="2"/>
        </w:numPr>
        <w:spacing w:after="60" w:before="60"/>
      </w:pPr>
      <w:r>
        <w:rPr>
          <w:rFonts w:ascii="Arial" w:cs="Arial" w:eastAsia="Arial" w:hAnsi="Arial"/>
          <w:color w:val="1A1A1A"/>
          <w:sz w:val="22"/>
          <w:szCs w:val="22"/>
        </w:rPr>
        <w:t xml:space="preserve">Backup before every major session: cp -r v3/rise v3/rise_backup_$(date +%Y%m%d)</w:t>
      </w:r>
    </w:p>
    <w:p>
      <w:pPr>
        <w:pStyle w:val="ListParagraph"/>
        <w:numPr>
          <w:ilvl w:val="0"/>
          <w:numId w:val="2"/>
        </w:numPr>
        <w:spacing w:after="60" w:before="60"/>
      </w:pPr>
      <w:r>
        <w:rPr>
          <w:rFonts w:ascii="Arial" w:cs="Arial" w:eastAsia="Arial" w:hAnsi="Arial"/>
          <w:color w:val="1A1A1A"/>
          <w:sz w:val="22"/>
          <w:szCs w:val="22"/>
        </w:rPr>
        <w:t xml:space="preserve">Never commit proxy.js, proxy2.js, .env, or .claude/ settings files</w:t>
      </w:r>
    </w:p>
    <w:p>
      <w:pPr>
        <w:spacing w:after="0" w:before="80"/>
      </w:pPr>
    </w:p>
    <w:p>
      <w:pPr>
        <w:pStyle w:val="Heading2"/>
        <w:spacing w:after="100" w:before="360"/>
      </w:pPr>
      <w:r>
        <w:rPr>
          <w:rFonts w:ascii="Arial" w:cs="Arial" w:eastAsia="Arial" w:hAnsi="Arial"/>
          <w:b/>
          <w:bCs/>
          <w:color w:val="1A1A1A"/>
          <w:sz w:val="26"/>
          <w:szCs w:val="26"/>
        </w:rPr>
        <w:t xml:space="preserve">Icon System (Pending)</w:t>
      </w:r>
    </w:p>
    <w:p>
      <w:pPr>
        <w:spacing w:after="120" w:before="80"/>
      </w:pPr>
      <w:r>
        <w:rPr>
          <w:rFonts w:ascii="Arial" w:cs="Arial" w:eastAsia="Arial" w:hAnsi="Arial"/>
          <w:color w:val="1A1A1A"/>
          <w:sz w:val="22"/>
          <w:szCs w:val="22"/>
        </w:rPr>
        <w:t xml:space="preserve">Current icons are coded geometric mono-line placeholders in SVG using currentColor. Before the site goes to production, a graphics person must hand-draw the full icon set in Figma or Illustrator to the same geometric mono-line style. Sectors needing icons: FinTech, HealthTech, GovTech, SpaceTech, EnergyTech, Manufacturing. Capability icons: Trust/Shield, Brain/Graph, Signal/Pulse, Chart, Lock, Satellite, Building.</w:t>
      </w:r>
    </w:p>
    <w:p>
      <w:pPr>
        <w:spacing w:after="0" w:before="160"/>
      </w:pPr>
    </w:p>
    <w:p>
      <w:pPr>
        <w:pBdr>
          <w:bottom w:val="single" w:color="DDDDDD" w:sz="4" w:space="1"/>
        </w:pBdr>
        <w:spacing w:after="240" w:before="240"/>
      </w:pPr>
    </w:p>
    <w:p>
      <w:pPr>
        <w:spacing w:after="80" w:before="480"/>
        <w:jc w:val="center"/>
      </w:pPr>
      <w:r>
        <w:rPr>
          <w:rFonts w:ascii="Arial" w:cs="Arial" w:eastAsia="Arial" w:hAnsi="Arial"/>
          <w:b/>
          <w:bCs/>
          <w:color w:val="1A1A1A"/>
          <w:sz w:val="28"/>
          <w:szCs w:val="28"/>
        </w:rPr>
        <w:t xml:space="preserve">E-Group ICT Software Zrt</w:t>
      </w:r>
    </w:p>
    <w:p>
      <w:pPr>
        <w:spacing w:after="80" w:before="0"/>
        <w:jc w:val="center"/>
      </w:pPr>
      <w:r>
        <w:rPr>
          <w:rFonts w:ascii="Arial" w:cs="Arial" w:eastAsia="Arial" w:hAnsi="Arial"/>
          <w:color w:val="555555"/>
          <w:sz w:val="20"/>
          <w:szCs w:val="20"/>
        </w:rPr>
        <w:t xml:space="preserve">Intelligence Infrastructure · Est. 1993 · Budapest, Hungary</w:t>
      </w:r>
    </w:p>
    <w:p>
      <w:pPr>
        <w:spacing w:after="80" w:before="0"/>
        <w:jc w:val="center"/>
      </w:pPr>
      <w:r>
        <w:rPr>
          <w:rFonts w:ascii="Arial" w:cs="Arial" w:eastAsia="Arial" w:hAnsi="Arial"/>
          <w:i/>
          <w:iCs/>
          <w:color w:val="C8A96E"/>
          <w:sz w:val="20"/>
          <w:szCs w:val="20"/>
        </w:rPr>
        <w:t xml:space="preserve">We are building the intelligence layer for the next thirty years.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spacing w:after="0" w:before="160"/>
    </w:pPr>
    <w:r>
      <w:rPr>
        <w:rFonts w:ascii="Arial" w:cs="Arial" w:eastAsia="Arial" w:hAnsi="Arial"/>
        <w:color w:val="555555"/>
        <w:sz w:val="16"/>
        <w:szCs w:val="16"/>
      </w:rPr>
      <w:t xml:space="preserve">Confidential — E-Group ICT Software Zrt · Budapest · Est. 1993      Page </w:t>
    </w:r>
    <w:r>
      <w:rPr>
        <w:rFonts w:ascii="Arial" w:cs="Arial" w:eastAsia="Arial" w:hAnsi="Arial"/>
        <w:color w:val="555555"/>
        <w:sz w:val="16"/>
        <w:szCs w:val="16"/>
      </w:rPr>
      <typ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6E" w:sz="4" w:space="6"/>
      </w:pBdr>
      <w:spacing w:after="160" w:before="0"/>
    </w:pPr>
    <w:r>
      <w:rPr>
        <w:rFonts w:ascii="Arial" w:cs="Arial" w:eastAsia="Arial" w:hAnsi="Arial"/>
        <w:b/>
        <w:bCs/>
        <w:color w:val="1A1A1A"/>
        <w:sz w:val="18"/>
        <w:szCs w:val="18"/>
      </w:rPr>
      <w:t xml:space="preserve">E-Group ICT Software Zrt</w:t>
    </w:r>
    <w:r>
      <w:rPr>
        <w:rFonts w:ascii="Arial" w:cs="Arial" w:eastAsia="Arial" w:hAnsi="Arial"/>
        <w:color w:val="555555"/>
        <w:sz w:val="18"/>
        <w:szCs w:val="18"/>
      </w:rPr>
      <w:t xml:space="preserve">   |   Website Scope Document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00" w:before="36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2026-04-08T12:16:50.510Z</dcterms:created>
  <dcterms:modified xsi:type="dcterms:W3CDTF">2026-04-08T12:16:50.510Z</dcterms:modified>
</cp:coreProperties>
</file>

<file path=docProps/custom.xml><?xml version="1.0" encoding="utf-8"?>
<Properties xmlns="http://schemas.openxmlformats.org/officeDocument/2006/custom-properties" xmlns:vt="http://schemas.openxmlformats.org/officeDocument/2006/docPropsVTypes"/>
</file>