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3F66" w:rsidRDefault="00000000">
      <w:pPr>
        <w:spacing w:after="120"/>
        <w:jc w:val="center"/>
        <w:rPr>
          <w:b/>
          <w:bCs/>
          <w:sz w:val="24"/>
          <w:szCs w:val="24"/>
        </w:rPr>
      </w:pPr>
      <w:r>
        <w:rPr>
          <w:b/>
          <w:bCs/>
          <w:sz w:val="24"/>
          <w:szCs w:val="24"/>
        </w:rPr>
        <w:t>Content Management in Health Care:</w:t>
      </w:r>
      <w:r>
        <w:rPr>
          <w:b/>
          <w:bCs/>
          <w:sz w:val="24"/>
          <w:szCs w:val="24"/>
        </w:rPr>
        <w:br/>
        <w:t xml:space="preserve"> Conversion of Written Policy into Rules</w:t>
      </w:r>
    </w:p>
    <w:p w14:paraId="00000003" w14:textId="68F86985" w:rsidR="00293F66" w:rsidRPr="006F1E51" w:rsidRDefault="00000000" w:rsidP="006F1E51">
      <w:pPr>
        <w:spacing w:after="120"/>
        <w:jc w:val="center"/>
        <w:rPr>
          <w:i/>
          <w:iCs/>
          <w:sz w:val="20"/>
          <w:szCs w:val="20"/>
        </w:rPr>
      </w:pPr>
      <w:proofErr w:type="spellStart"/>
      <w:r w:rsidRPr="006F1E51">
        <w:rPr>
          <w:i/>
          <w:iCs/>
          <w:sz w:val="20"/>
          <w:szCs w:val="20"/>
        </w:rPr>
        <w:t>PolicyEngine</w:t>
      </w:r>
      <w:proofErr w:type="spellEnd"/>
      <w:r w:rsidRPr="006F1E51">
        <w:rPr>
          <w:i/>
          <w:iCs/>
          <w:sz w:val="20"/>
          <w:szCs w:val="20"/>
        </w:rPr>
        <w:t xml:space="preserve"> Proof-of-Concept Cotiviti Intern Screening Exercise </w:t>
      </w:r>
    </w:p>
    <w:p w14:paraId="3BC4CB6A" w14:textId="77777777" w:rsidR="006F1E51" w:rsidRPr="006F1E51" w:rsidRDefault="006F1E51">
      <w:pPr>
        <w:spacing w:after="120"/>
        <w:rPr>
          <w:b/>
          <w:bCs/>
          <w:sz w:val="20"/>
          <w:szCs w:val="20"/>
        </w:rPr>
      </w:pPr>
    </w:p>
    <w:p w14:paraId="00000004" w14:textId="24E33714" w:rsidR="00293F66" w:rsidRPr="006F1E51" w:rsidRDefault="00000000">
      <w:pPr>
        <w:spacing w:after="120"/>
        <w:rPr>
          <w:b/>
          <w:bCs/>
          <w:sz w:val="20"/>
          <w:szCs w:val="20"/>
        </w:rPr>
      </w:pPr>
      <w:r w:rsidRPr="006F1E51">
        <w:rPr>
          <w:b/>
          <w:bCs/>
          <w:sz w:val="20"/>
          <w:szCs w:val="20"/>
        </w:rPr>
        <w:t>1. Concept: Policy-to-Rule Conversion in Health Care</w:t>
      </w:r>
    </w:p>
    <w:p w14:paraId="00000005" w14:textId="01F71E34" w:rsidR="00293F66" w:rsidRPr="006F1E51" w:rsidRDefault="00000000">
      <w:pPr>
        <w:spacing w:before="240" w:after="240"/>
        <w:rPr>
          <w:sz w:val="20"/>
          <w:szCs w:val="20"/>
        </w:rPr>
      </w:pPr>
      <w:r w:rsidRPr="006F1E51">
        <w:rPr>
          <w:sz w:val="20"/>
          <w:szCs w:val="20"/>
        </w:rPr>
        <w:t xml:space="preserve">Health care claims editing depends on translating payer and government policy into executable logic. The </w:t>
      </w:r>
      <w:proofErr w:type="spellStart"/>
      <w:r w:rsidRPr="006F1E51">
        <w:rPr>
          <w:sz w:val="20"/>
          <w:szCs w:val="20"/>
        </w:rPr>
        <w:t>Centers</w:t>
      </w:r>
      <w:proofErr w:type="spellEnd"/>
      <w:r w:rsidRPr="006F1E51">
        <w:rPr>
          <w:sz w:val="20"/>
          <w:szCs w:val="20"/>
        </w:rPr>
        <w:t xml:space="preserve"> for Medicare &amp; Medicaid Services (CMS) publishes the National Correct Coding Initiative (NCCI) in two parallel forms: narrative prose in the Medicare NCCI Policy Manual and structured </w:t>
      </w:r>
      <w:r w:rsidR="006F1E51">
        <w:rPr>
          <w:sz w:val="20"/>
          <w:szCs w:val="20"/>
        </w:rPr>
        <w:t>procedure-to-procedure</w:t>
      </w:r>
      <w:r w:rsidRPr="006F1E51">
        <w:rPr>
          <w:sz w:val="20"/>
          <w:szCs w:val="20"/>
        </w:rPr>
        <w:t xml:space="preserve"> (PTP) edit tables listing Column 1 and Column 2 CPT code pairs, modifier indicators, and effective dates. The narrative explains why a bundling edit exists; the edit table encodes what the system must enforce.</w:t>
      </w:r>
    </w:p>
    <w:p w14:paraId="00000006" w14:textId="77777777" w:rsidR="00293F66" w:rsidRPr="006F1E51" w:rsidRDefault="00000000">
      <w:pPr>
        <w:spacing w:before="240" w:after="240"/>
        <w:rPr>
          <w:sz w:val="20"/>
          <w:szCs w:val="20"/>
        </w:rPr>
      </w:pPr>
      <w:r w:rsidRPr="006F1E51">
        <w:rPr>
          <w:sz w:val="20"/>
          <w:szCs w:val="20"/>
        </w:rPr>
        <w:t xml:space="preserve">Cotiviti and similar organizations already follow this pattern subject matter experts interpret policy language, author deterministic edit rules, and apply those rules to incoming claims with auditable pass, fail, or review outcomes. The </w:t>
      </w:r>
      <w:proofErr w:type="spellStart"/>
      <w:r w:rsidRPr="006F1E51">
        <w:rPr>
          <w:sz w:val="20"/>
          <w:szCs w:val="20"/>
        </w:rPr>
        <w:t>PolicyEngine</w:t>
      </w:r>
      <w:proofErr w:type="spellEnd"/>
      <w:r w:rsidRPr="006F1E51">
        <w:rPr>
          <w:sz w:val="20"/>
          <w:szCs w:val="20"/>
        </w:rPr>
        <w:t xml:space="preserve"> proof of concept explores whether a large language model (LLM) can assist the first step: reading unstructured policy prose and proposing structured JSON rules (code pairs, modifier allowance, and verbatim rationale quotes).</w:t>
      </w:r>
    </w:p>
    <w:p w14:paraId="00000009" w14:textId="75C86BF9" w:rsidR="00293F66" w:rsidRPr="006F1E51" w:rsidRDefault="00000000" w:rsidP="006F1E51">
      <w:pPr>
        <w:spacing w:before="240" w:after="240"/>
        <w:rPr>
          <w:sz w:val="20"/>
          <w:szCs w:val="20"/>
        </w:rPr>
      </w:pPr>
      <w:r w:rsidRPr="006F1E51">
        <w:rPr>
          <w:sz w:val="20"/>
          <w:szCs w:val="20"/>
        </w:rPr>
        <w:t xml:space="preserve">The critical architectural constraint is that the LLM never decides claim outcomes. Layer 1, the extractor, handles language understanding only. Layer 2, a deterministic audit engine, applies extracted rules to claim objects using plain comparisons and </w:t>
      </w:r>
      <w:proofErr w:type="spellStart"/>
      <w:r w:rsidRPr="006F1E51">
        <w:rPr>
          <w:sz w:val="20"/>
          <w:szCs w:val="20"/>
        </w:rPr>
        <w:t>boolean</w:t>
      </w:r>
      <w:proofErr w:type="spellEnd"/>
      <w:r w:rsidRPr="006F1E51">
        <w:rPr>
          <w:sz w:val="20"/>
          <w:szCs w:val="20"/>
        </w:rPr>
        <w:t xml:space="preserve"> logic with no model involvement. An independent evaluator scores extractor output against the real published NCCI edit table subset in this repository computing precision, recall, and F1 on code pairs and verifies that each rationale quote appears verbatim in the source policy text, flagging hallucinated citations. This separation ensures every denial or payment decision is reproducible, explainable, and traceable to explicit rule logic rather than opaque model judgment.</w:t>
      </w:r>
    </w:p>
    <w:p w14:paraId="0000000A" w14:textId="77777777" w:rsidR="00293F66" w:rsidRPr="006F1E51" w:rsidRDefault="00000000">
      <w:pPr>
        <w:spacing w:after="120"/>
        <w:rPr>
          <w:b/>
          <w:bCs/>
          <w:sz w:val="20"/>
          <w:szCs w:val="20"/>
        </w:rPr>
      </w:pPr>
      <w:r w:rsidRPr="006F1E51">
        <w:rPr>
          <w:b/>
          <w:bCs/>
          <w:sz w:val="20"/>
          <w:szCs w:val="20"/>
        </w:rPr>
        <w:t>2. Relevant Industry Trends</w:t>
      </w:r>
    </w:p>
    <w:p w14:paraId="0000000B" w14:textId="77777777" w:rsidR="00293F66" w:rsidRPr="006F1E51" w:rsidRDefault="00000000">
      <w:pPr>
        <w:spacing w:before="240" w:after="240"/>
        <w:rPr>
          <w:sz w:val="20"/>
          <w:szCs w:val="20"/>
        </w:rPr>
      </w:pPr>
      <w:r w:rsidRPr="006F1E51">
        <w:rPr>
          <w:sz w:val="20"/>
          <w:szCs w:val="20"/>
        </w:rPr>
        <w:t>Three trends shape how health care organizations should adopt AI for policy management.</w:t>
      </w:r>
    </w:p>
    <w:p w14:paraId="0000000C" w14:textId="77777777" w:rsidR="00293F66" w:rsidRPr="006F1E51" w:rsidRDefault="00000000">
      <w:pPr>
        <w:spacing w:before="240" w:after="240"/>
        <w:rPr>
          <w:sz w:val="20"/>
          <w:szCs w:val="20"/>
        </w:rPr>
      </w:pPr>
      <w:r w:rsidRPr="006F1E51">
        <w:rPr>
          <w:sz w:val="20"/>
          <w:szCs w:val="20"/>
        </w:rPr>
        <w:t>First, retrieval augmented generation (RAG) is becoming standard for grounding LLM outputs in authoritative source documents. Rather than relying on model parametric memory, RAG retrieves relevant policy passages before generation. This technique reduces factual errors when policy language is lengthy or revised frequently by appending the documents to the prompt to serve as a factual basis.</w:t>
      </w:r>
    </w:p>
    <w:p w14:paraId="0000000D" w14:textId="77777777" w:rsidR="00293F66" w:rsidRPr="006F1E51" w:rsidRDefault="00000000">
      <w:pPr>
        <w:spacing w:before="240" w:after="240"/>
        <w:rPr>
          <w:sz w:val="20"/>
          <w:szCs w:val="20"/>
        </w:rPr>
      </w:pPr>
      <w:r w:rsidRPr="006F1E51">
        <w:rPr>
          <w:sz w:val="20"/>
          <w:szCs w:val="20"/>
        </w:rPr>
        <w:t>Second, enterprises are deploying LLMs for first draft rule authoring with mandatory human in the loop review. The model proposes candidate edits; subject matter experts validate clinical accuracy, edge cases, and payer specific exceptions before production promotion. This pattern acknowledges that language models excel at interpretation but lack the accountability required for financial claim decisions.</w:t>
      </w:r>
    </w:p>
    <w:p w14:paraId="00000010" w14:textId="72B7F7B0" w:rsidR="00293F66" w:rsidRPr="006F1E51" w:rsidRDefault="00000000" w:rsidP="006F1E51">
      <w:pPr>
        <w:spacing w:before="240" w:after="240"/>
        <w:rPr>
          <w:sz w:val="20"/>
          <w:szCs w:val="20"/>
        </w:rPr>
      </w:pPr>
      <w:r w:rsidRPr="006F1E51">
        <w:rPr>
          <w:sz w:val="20"/>
          <w:szCs w:val="20"/>
        </w:rPr>
        <w:t>Third, regulators and payers are increasing scrutiny of AI driven claims decisions. For example, Alabama Senate Bill 63 (enacted in April 2026) mirrors CMS guidelines, mandating that health insurers using AI in prior authorization base determinations on individual medical history, not group datasets. In Utah, SB 319 requires that healthcare professionals render adverse determinations using independent medical judgment, separate from AI. Architectures that confine AI to extraction and reserve deterministic code for adjudication align precisely with this regulatory direction.</w:t>
      </w:r>
    </w:p>
    <w:p w14:paraId="00000011" w14:textId="77777777" w:rsidR="00293F66" w:rsidRPr="006F1E51" w:rsidRDefault="00000000">
      <w:pPr>
        <w:spacing w:after="120"/>
        <w:rPr>
          <w:b/>
          <w:bCs/>
          <w:sz w:val="20"/>
          <w:szCs w:val="20"/>
        </w:rPr>
      </w:pPr>
      <w:r w:rsidRPr="006F1E51">
        <w:rPr>
          <w:b/>
          <w:bCs/>
          <w:sz w:val="20"/>
          <w:szCs w:val="20"/>
        </w:rPr>
        <w:lastRenderedPageBreak/>
        <w:t>3. Opportunities and Threats</w:t>
      </w:r>
    </w:p>
    <w:p w14:paraId="00000012" w14:textId="77777777" w:rsidR="00293F66" w:rsidRPr="006F1E51" w:rsidRDefault="00000000">
      <w:pPr>
        <w:spacing w:before="240" w:after="240"/>
        <w:rPr>
          <w:sz w:val="20"/>
          <w:szCs w:val="20"/>
        </w:rPr>
      </w:pPr>
      <w:r w:rsidRPr="006F1E51">
        <w:rPr>
          <w:b/>
          <w:bCs/>
          <w:sz w:val="20"/>
          <w:szCs w:val="20"/>
        </w:rPr>
        <w:t>Opportunities:</w:t>
      </w:r>
      <w:r w:rsidRPr="006F1E51">
        <w:rPr>
          <w:sz w:val="20"/>
          <w:szCs w:val="20"/>
        </w:rPr>
        <w:t xml:space="preserve"> When CMS or commercial payers release quarterly policy updates, an extraction copilot could produce first draft structured rules for expert review instead of manual transcription from PDF prose, potentially shortening update cycles. Requiring citation grounded extraction creates audit trails linking executable logic to source policy language valuable for internal compliance and payer dispute resolution. Language heavy interpretation shifts to the model, allowing subject matter experts to focus on review, exceptions, and edge cases.</w:t>
      </w:r>
    </w:p>
    <w:p w14:paraId="00000013" w14:textId="77777777" w:rsidR="00293F66" w:rsidRPr="006F1E51" w:rsidRDefault="00000000">
      <w:pPr>
        <w:spacing w:before="240" w:after="240"/>
        <w:rPr>
          <w:sz w:val="20"/>
          <w:szCs w:val="20"/>
        </w:rPr>
      </w:pPr>
      <w:r w:rsidRPr="006F1E51">
        <w:rPr>
          <w:b/>
          <w:bCs/>
          <w:sz w:val="20"/>
          <w:szCs w:val="20"/>
        </w:rPr>
        <w:t>Threats:</w:t>
      </w:r>
      <w:r w:rsidRPr="006F1E51">
        <w:rPr>
          <w:sz w:val="20"/>
          <w:szCs w:val="20"/>
        </w:rPr>
        <w:t xml:space="preserve"> Hallucinated rules incorrect code pairs, wrong modifier allowance, or invented rationale quotes can cause improper denials or payments if deployed without review. Model drift as policy language, prompts, and model versions change can degrade extraction quality silently. Liability exposure increases if unreviewed AI output reaches production claim editing.</w:t>
      </w:r>
    </w:p>
    <w:p w14:paraId="00000015" w14:textId="16A61AB1" w:rsidR="00293F66" w:rsidRPr="006F1E51" w:rsidRDefault="00000000" w:rsidP="006F1E51">
      <w:pPr>
        <w:spacing w:before="240" w:after="240"/>
        <w:rPr>
          <w:sz w:val="20"/>
          <w:szCs w:val="20"/>
        </w:rPr>
      </w:pPr>
      <w:r w:rsidRPr="006F1E51">
        <w:rPr>
          <w:sz w:val="20"/>
          <w:szCs w:val="20"/>
        </w:rPr>
        <w:t xml:space="preserve">Mitigations demonstrated in </w:t>
      </w:r>
      <w:proofErr w:type="spellStart"/>
      <w:r w:rsidRPr="006F1E51">
        <w:rPr>
          <w:sz w:val="20"/>
          <w:szCs w:val="20"/>
        </w:rPr>
        <w:t>PolicyEngine</w:t>
      </w:r>
      <w:proofErr w:type="spellEnd"/>
      <w:r w:rsidRPr="006F1E51">
        <w:rPr>
          <w:sz w:val="20"/>
          <w:szCs w:val="20"/>
        </w:rPr>
        <w:t xml:space="preserve"> address these threats directly. Gold table regression compares extracted pairs against published NCCI edit data rather than a second model's opinion. A </w:t>
      </w:r>
      <w:proofErr w:type="spellStart"/>
      <w:r w:rsidRPr="006F1E51">
        <w:rPr>
          <w:sz w:val="20"/>
          <w:szCs w:val="20"/>
        </w:rPr>
        <w:t>groundedness</w:t>
      </w:r>
      <w:proofErr w:type="spellEnd"/>
      <w:r w:rsidRPr="006F1E51">
        <w:rPr>
          <w:sz w:val="20"/>
          <w:szCs w:val="20"/>
        </w:rPr>
        <w:t xml:space="preserve"> check verifies rationale quotes verbatim in source text orthogonal to pair accuracy, since a rule can match the table yet cite </w:t>
      </w:r>
      <w:proofErr w:type="spellStart"/>
      <w:r w:rsidRPr="006F1E51">
        <w:rPr>
          <w:sz w:val="20"/>
          <w:szCs w:val="20"/>
        </w:rPr>
        <w:t>nonexistent</w:t>
      </w:r>
      <w:proofErr w:type="spellEnd"/>
      <w:r w:rsidRPr="006F1E51">
        <w:rPr>
          <w:sz w:val="20"/>
          <w:szCs w:val="20"/>
        </w:rPr>
        <w:t xml:space="preserve"> prose. The deterministic audit layer produces explicit pass/fail reasons with no LLM in the decision path.</w:t>
      </w:r>
    </w:p>
    <w:p w14:paraId="00000016" w14:textId="77777777" w:rsidR="00293F66" w:rsidRPr="006F1E51" w:rsidRDefault="00000000">
      <w:pPr>
        <w:spacing w:after="120"/>
        <w:rPr>
          <w:b/>
          <w:bCs/>
          <w:sz w:val="20"/>
          <w:szCs w:val="20"/>
        </w:rPr>
      </w:pPr>
      <w:r w:rsidRPr="006F1E51">
        <w:rPr>
          <w:b/>
          <w:bCs/>
          <w:sz w:val="20"/>
          <w:szCs w:val="20"/>
        </w:rPr>
        <w:t>4. Strategic Proposal for Cotiviti</w:t>
      </w:r>
    </w:p>
    <w:p w14:paraId="00000017" w14:textId="77777777" w:rsidR="00293F66" w:rsidRPr="006F1E51" w:rsidRDefault="00000000">
      <w:pPr>
        <w:spacing w:before="240" w:after="240"/>
        <w:rPr>
          <w:sz w:val="20"/>
          <w:szCs w:val="20"/>
        </w:rPr>
      </w:pPr>
      <w:r w:rsidRPr="006F1E51">
        <w:rPr>
          <w:sz w:val="20"/>
          <w:szCs w:val="20"/>
        </w:rPr>
        <w:t>Cotiviti should explore an internal policy to rule copilot not as a production claims editor, but as an accelerator for rule authoring with three mandatory guardrails demonstrated at small scale in this POC.</w:t>
      </w:r>
    </w:p>
    <w:p w14:paraId="00000018" w14:textId="77777777" w:rsidR="00293F66" w:rsidRPr="006F1E51" w:rsidRDefault="00000000">
      <w:pPr>
        <w:spacing w:before="240" w:after="240"/>
        <w:rPr>
          <w:sz w:val="20"/>
          <w:szCs w:val="20"/>
        </w:rPr>
      </w:pPr>
      <w:r w:rsidRPr="006F1E51">
        <w:rPr>
          <w:sz w:val="20"/>
          <w:szCs w:val="20"/>
        </w:rPr>
        <w:t>First, human in the loop review: every LLM extracted rule set requires subject matter expert sign off before promotion to production edit libraries. The model produces candidates; humans approve.</w:t>
      </w:r>
    </w:p>
    <w:p w14:paraId="00000019" w14:textId="77777777" w:rsidR="00293F66" w:rsidRPr="006F1E51" w:rsidRDefault="00000000">
      <w:pPr>
        <w:spacing w:before="240" w:after="240"/>
        <w:rPr>
          <w:sz w:val="20"/>
          <w:szCs w:val="20"/>
        </w:rPr>
      </w:pPr>
      <w:r w:rsidRPr="006F1E51">
        <w:rPr>
          <w:sz w:val="20"/>
          <w:szCs w:val="20"/>
        </w:rPr>
        <w:t xml:space="preserve">Second, a continuous regression harness: on each CMS quarterly release or payer policy update, re run extraction against known edit table subsets and historical or synthetic claim fixtures. Block promotion if precision, recall, or </w:t>
      </w:r>
      <w:proofErr w:type="spellStart"/>
      <w:r w:rsidRPr="006F1E51">
        <w:rPr>
          <w:sz w:val="20"/>
          <w:szCs w:val="20"/>
        </w:rPr>
        <w:t>groundedness</w:t>
      </w:r>
      <w:proofErr w:type="spellEnd"/>
      <w:r w:rsidRPr="006F1E51">
        <w:rPr>
          <w:sz w:val="20"/>
          <w:szCs w:val="20"/>
        </w:rPr>
        <w:t xml:space="preserve"> metrics fall below defined thresholds.</w:t>
      </w:r>
    </w:p>
    <w:p w14:paraId="0000001A" w14:textId="77777777" w:rsidR="00293F66" w:rsidRPr="006F1E51" w:rsidRDefault="00000000">
      <w:pPr>
        <w:spacing w:before="240" w:after="240"/>
        <w:rPr>
          <w:sz w:val="20"/>
          <w:szCs w:val="20"/>
        </w:rPr>
      </w:pPr>
      <w:r w:rsidRPr="006F1E51">
        <w:rPr>
          <w:sz w:val="20"/>
          <w:szCs w:val="20"/>
        </w:rPr>
        <w:t>Third, strict architectural separation: maintain the two layer pattern in any production integration LLM for language tasks only; deterministic engine for all claim pass/fail decisions with auditable reason codes.</w:t>
      </w:r>
    </w:p>
    <w:p w14:paraId="0000001C" w14:textId="7D5AC699" w:rsidR="00293F66" w:rsidRPr="006F1E51" w:rsidRDefault="00000000" w:rsidP="006F1E51">
      <w:pPr>
        <w:spacing w:before="240" w:after="240"/>
        <w:rPr>
          <w:sz w:val="20"/>
          <w:szCs w:val="20"/>
        </w:rPr>
      </w:pPr>
      <w:r w:rsidRPr="006F1E51">
        <w:rPr>
          <w:sz w:val="20"/>
          <w:szCs w:val="20"/>
        </w:rPr>
        <w:t>Scaling to Cotiviti's full edit library would require broader gold table coverage and integration with existing rule management systems, but the evaluation methodology and separation principle are directly transferable.</w:t>
      </w:r>
    </w:p>
    <w:p w14:paraId="0000001D" w14:textId="77777777" w:rsidR="00293F66" w:rsidRPr="006F1E51" w:rsidRDefault="00000000">
      <w:pPr>
        <w:spacing w:after="120"/>
        <w:rPr>
          <w:b/>
          <w:bCs/>
          <w:sz w:val="20"/>
          <w:szCs w:val="20"/>
        </w:rPr>
      </w:pPr>
      <w:r w:rsidRPr="006F1E51">
        <w:rPr>
          <w:b/>
          <w:bCs/>
          <w:sz w:val="20"/>
          <w:szCs w:val="20"/>
        </w:rPr>
        <w:t>References</w:t>
      </w:r>
    </w:p>
    <w:p w14:paraId="0000001E" w14:textId="77777777" w:rsidR="00293F66" w:rsidRPr="006F1E51" w:rsidRDefault="00000000">
      <w:pPr>
        <w:numPr>
          <w:ilvl w:val="0"/>
          <w:numId w:val="1"/>
        </w:numPr>
        <w:spacing w:before="240"/>
        <w:rPr>
          <w:b/>
          <w:bCs/>
          <w:sz w:val="20"/>
          <w:szCs w:val="20"/>
        </w:rPr>
      </w:pPr>
      <w:proofErr w:type="spellStart"/>
      <w:r w:rsidRPr="006F1E51">
        <w:rPr>
          <w:b/>
          <w:bCs/>
          <w:sz w:val="20"/>
          <w:szCs w:val="20"/>
        </w:rPr>
        <w:t>Centers</w:t>
      </w:r>
      <w:proofErr w:type="spellEnd"/>
      <w:r w:rsidRPr="006F1E51">
        <w:rPr>
          <w:b/>
          <w:bCs/>
          <w:sz w:val="20"/>
          <w:szCs w:val="20"/>
        </w:rPr>
        <w:t xml:space="preserve"> for Medicare &amp; Medicaid Services. (n.d.). Medicare National Correct Coding Initiative (NCCI) edits. U.S. Department of Health and Human Services.</w:t>
      </w:r>
      <w:hyperlink r:id="rId5">
        <w:r w:rsidRPr="006F1E51">
          <w:rPr>
            <w:b/>
            <w:bCs/>
            <w:sz w:val="20"/>
            <w:szCs w:val="20"/>
          </w:rPr>
          <w:t xml:space="preserve"> </w:t>
        </w:r>
      </w:hyperlink>
      <w:hyperlink r:id="rId6">
        <w:r w:rsidRPr="006F1E51">
          <w:rPr>
            <w:b/>
            <w:bCs/>
            <w:color w:val="1155CC"/>
            <w:sz w:val="20"/>
            <w:szCs w:val="20"/>
            <w:u w:val="single"/>
          </w:rPr>
          <w:t>Link</w:t>
        </w:r>
      </w:hyperlink>
    </w:p>
    <w:p w14:paraId="0000001F" w14:textId="77777777" w:rsidR="00293F66" w:rsidRPr="006F1E51" w:rsidRDefault="00000000">
      <w:pPr>
        <w:numPr>
          <w:ilvl w:val="0"/>
          <w:numId w:val="1"/>
        </w:numPr>
        <w:rPr>
          <w:b/>
          <w:bCs/>
          <w:sz w:val="20"/>
          <w:szCs w:val="20"/>
        </w:rPr>
      </w:pPr>
      <w:r w:rsidRPr="006F1E51">
        <w:rPr>
          <w:b/>
          <w:bCs/>
          <w:sz w:val="20"/>
          <w:szCs w:val="20"/>
        </w:rPr>
        <w:t xml:space="preserve">S.B. 319 Health Insurance Preauthorization Amendments </w:t>
      </w:r>
      <w:hyperlink r:id="rId7">
        <w:r w:rsidRPr="006F1E51">
          <w:rPr>
            <w:b/>
            <w:bCs/>
            <w:color w:val="1155CC"/>
            <w:sz w:val="20"/>
            <w:szCs w:val="20"/>
            <w:u w:val="single"/>
          </w:rPr>
          <w:t>Link</w:t>
        </w:r>
      </w:hyperlink>
    </w:p>
    <w:p w14:paraId="00000020" w14:textId="77777777" w:rsidR="00293F66" w:rsidRPr="006F1E51" w:rsidRDefault="00000000">
      <w:pPr>
        <w:numPr>
          <w:ilvl w:val="0"/>
          <w:numId w:val="1"/>
        </w:numPr>
        <w:rPr>
          <w:b/>
          <w:bCs/>
          <w:sz w:val="20"/>
          <w:szCs w:val="20"/>
        </w:rPr>
      </w:pPr>
      <w:r w:rsidRPr="006F1E51">
        <w:rPr>
          <w:b/>
          <w:bCs/>
          <w:sz w:val="20"/>
          <w:szCs w:val="20"/>
        </w:rPr>
        <w:t xml:space="preserve">Alabama SB63: Limitations on Artificial Intelligence in Health Insurance Coverage Determinations. </w:t>
      </w:r>
      <w:hyperlink r:id="rId8">
        <w:r w:rsidRPr="006F1E51">
          <w:rPr>
            <w:b/>
            <w:bCs/>
            <w:color w:val="1155CC"/>
            <w:sz w:val="20"/>
            <w:szCs w:val="20"/>
            <w:u w:val="single"/>
          </w:rPr>
          <w:t>Link</w:t>
        </w:r>
      </w:hyperlink>
    </w:p>
    <w:p w14:paraId="00000021" w14:textId="77777777" w:rsidR="00293F66" w:rsidRPr="006F1E51" w:rsidRDefault="00000000">
      <w:pPr>
        <w:numPr>
          <w:ilvl w:val="0"/>
          <w:numId w:val="1"/>
        </w:numPr>
        <w:rPr>
          <w:b/>
          <w:bCs/>
          <w:sz w:val="20"/>
          <w:szCs w:val="20"/>
        </w:rPr>
      </w:pPr>
      <w:proofErr w:type="spellStart"/>
      <w:r w:rsidRPr="006F1E51">
        <w:rPr>
          <w:b/>
          <w:bCs/>
          <w:sz w:val="20"/>
          <w:szCs w:val="20"/>
        </w:rPr>
        <w:t>Centers</w:t>
      </w:r>
      <w:proofErr w:type="spellEnd"/>
      <w:r w:rsidRPr="006F1E51">
        <w:rPr>
          <w:b/>
          <w:bCs/>
          <w:sz w:val="20"/>
          <w:szCs w:val="20"/>
        </w:rPr>
        <w:t xml:space="preserve"> for Medicare &amp; Medicaid Services. (n.d.). Medicare NCCI policy manual. U.S. Department of Health and Human Services.</w:t>
      </w:r>
      <w:hyperlink r:id="rId9">
        <w:r w:rsidRPr="006F1E51">
          <w:rPr>
            <w:b/>
            <w:bCs/>
            <w:sz w:val="20"/>
            <w:szCs w:val="20"/>
          </w:rPr>
          <w:t xml:space="preserve"> </w:t>
        </w:r>
      </w:hyperlink>
      <w:hyperlink r:id="rId10">
        <w:r w:rsidRPr="006F1E51">
          <w:rPr>
            <w:b/>
            <w:bCs/>
            <w:color w:val="1155CC"/>
            <w:sz w:val="20"/>
            <w:szCs w:val="20"/>
            <w:u w:val="single"/>
          </w:rPr>
          <w:t>Link</w:t>
        </w:r>
      </w:hyperlink>
    </w:p>
    <w:p w14:paraId="00000024" w14:textId="61B7A2BE" w:rsidR="00293F66" w:rsidRPr="006F1E51" w:rsidRDefault="00000000" w:rsidP="006F1E51">
      <w:pPr>
        <w:numPr>
          <w:ilvl w:val="0"/>
          <w:numId w:val="1"/>
        </w:numPr>
        <w:rPr>
          <w:b/>
          <w:bCs/>
          <w:sz w:val="20"/>
          <w:szCs w:val="20"/>
        </w:rPr>
      </w:pPr>
      <w:proofErr w:type="spellStart"/>
      <w:r w:rsidRPr="006F1E51">
        <w:rPr>
          <w:b/>
          <w:bCs/>
          <w:sz w:val="20"/>
          <w:szCs w:val="20"/>
        </w:rPr>
        <w:t>Centers</w:t>
      </w:r>
      <w:proofErr w:type="spellEnd"/>
      <w:r w:rsidRPr="006F1E51">
        <w:rPr>
          <w:b/>
          <w:bCs/>
          <w:sz w:val="20"/>
          <w:szCs w:val="20"/>
        </w:rPr>
        <w:t xml:space="preserve"> for Medicare &amp; Medicaid Services. (n.d.). Medicare NCCI procedure to procedure (PTP) edits. U.S. Department of Health and Human Services.</w:t>
      </w:r>
      <w:hyperlink r:id="rId11">
        <w:r w:rsidRPr="006F1E51">
          <w:rPr>
            <w:b/>
            <w:bCs/>
            <w:sz w:val="20"/>
            <w:szCs w:val="20"/>
          </w:rPr>
          <w:t xml:space="preserve"> </w:t>
        </w:r>
      </w:hyperlink>
      <w:hyperlink r:id="rId12">
        <w:r w:rsidRPr="006F1E51">
          <w:rPr>
            <w:b/>
            <w:bCs/>
            <w:color w:val="1155CC"/>
            <w:sz w:val="20"/>
            <w:szCs w:val="20"/>
            <w:u w:val="single"/>
          </w:rPr>
          <w:t>Link</w:t>
        </w:r>
      </w:hyperlink>
    </w:p>
    <w:p w14:paraId="00000026" w14:textId="5CEB321B" w:rsidR="00293F66" w:rsidRPr="006F1E51" w:rsidRDefault="00000000" w:rsidP="006F1E51">
      <w:pPr>
        <w:spacing w:after="160"/>
        <w:ind w:left="1440" w:hanging="720"/>
        <w:rPr>
          <w:sz w:val="20"/>
          <w:szCs w:val="20"/>
        </w:rPr>
      </w:pPr>
      <w:r w:rsidRPr="006F1E51">
        <w:rPr>
          <w:sz w:val="20"/>
          <w:szCs w:val="20"/>
        </w:rPr>
        <w:t xml:space="preserve"> </w:t>
      </w:r>
    </w:p>
    <w:sectPr w:rsidR="00293F66" w:rsidRPr="006F1E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831B7D-44F0-4038-B89A-A9539FA277C3}"/>
  </w:font>
  <w:font w:name="Cambria">
    <w:panose1 w:val="02040503050406030204"/>
    <w:charset w:val="00"/>
    <w:family w:val="roman"/>
    <w:pitch w:val="variable"/>
    <w:sig w:usb0="E00006FF" w:usb1="420024FF" w:usb2="02000000" w:usb3="00000000" w:csb0="0000019F" w:csb1="00000000"/>
    <w:embedRegular r:id="rId2" w:fontKey="{25555E9E-5E82-4DC9-ACFF-5166ABF57E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072FE"/>
    <w:multiLevelType w:val="multilevel"/>
    <w:tmpl w:val="5A76B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115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66"/>
    <w:rsid w:val="00293F66"/>
    <w:rsid w:val="00294C34"/>
    <w:rsid w:val="006F1E51"/>
    <w:rsid w:val="00DE6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66F5"/>
  <w15:docId w15:val="{E9F96A9F-0C5A-4803-BC48-A1BBF38E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ison.legislature.state.al.us/files/pdf/SearchableInstruments/2026RS/SB63-int.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utah.gov/Session/2026/bills/static/SB0319.html" TargetMode="External"/><Relationship Id="rId12" Type="http://schemas.openxmlformats.org/officeDocument/2006/relationships/hyperlink" Target="https://www.cms.gov/medicare/coding-billing/national-correct-coding-initiative-ncci-edits/medicare-ncci-procedure-procedure-ptp-ed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ms.gov/medicare/coding-billing/national-correct-coding-initiative-ncci-edits" TargetMode="External"/><Relationship Id="rId11" Type="http://schemas.openxmlformats.org/officeDocument/2006/relationships/hyperlink" Target="https://www.cms.gov/medicare/coding-billing/national-correct-coding-initiative-ncci-edits/medicare-ncci-procedure-procedure-ptp-edits" TargetMode="External"/><Relationship Id="rId5" Type="http://schemas.openxmlformats.org/officeDocument/2006/relationships/hyperlink" Target="https://www.cms.gov/medicare/coding-billing/national-correct-coding-initiative-ncci-edits" TargetMode="External"/><Relationship Id="rId10" Type="http://schemas.openxmlformats.org/officeDocument/2006/relationships/hyperlink" Target="https://www.cms.gov/medicare/coding-billing/national-correct-coding-initiative-ncci-edits/medicare-ncci-policy-manual" TargetMode="External"/><Relationship Id="rId4" Type="http://schemas.openxmlformats.org/officeDocument/2006/relationships/webSettings" Target="webSettings.xml"/><Relationship Id="rId9" Type="http://schemas.openxmlformats.org/officeDocument/2006/relationships/hyperlink" Target="https://www.cms.gov/medicare/coding-billing/national-correct-coding-initiative-ncci-edits/medicare-ncci-policy-manua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Shreyash Kakde</dc:creator>
  <cp:lastModifiedBy>Shreyash Kakde</cp:lastModifiedBy>
  <cp:revision>2</cp:revision>
  <dcterms:created xsi:type="dcterms:W3CDTF">2026-06-25T22:14:00Z</dcterms:created>
  <dcterms:modified xsi:type="dcterms:W3CDTF">2026-06-25T22:14:00Z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dcc3cece-c7d7-4e9b-9633-485b7e3f1389</vt:lpwstr>
  </property>
</Properties>
</file>