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首頁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（資訊重點：客戶服務優先，服務包括核醫專業顧問、智慧訂藥系統、輻防教育訓練）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Precision and Smart Supply for Nuclear Medicine（主視覺押字）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核醫專業顧問，建構安全、高效的核醫藥物生態系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Services &amp; Products（向量動畫設計與ICON）</w:t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05"/>
        <w:gridCol w:w="3005"/>
        <w:gridCol w:w="3005"/>
        <w:tblGridChange w:id="0">
          <w:tblGrid>
            <w:gridCol w:w="3005"/>
            <w:gridCol w:w="3005"/>
            <w:gridCol w:w="300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專業顧問</w:t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（兩條交會的曲線）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PMingLiu" w:cs="PMingLiu" w:eastAsia="PMingLiu" w:hAnsi="PMingLiu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sz w:val="24"/>
                <w:szCs w:val="24"/>
                <w:rtl w:val="0"/>
              </w:rPr>
              <w:t xml:space="preserve">智慧訂藥</w:t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PMingLiu" w:cs="PMingLiu" w:eastAsia="PMingLiu" w:hAnsi="PMingLiu"/>
                <w:sz w:val="24"/>
                <w:szCs w:val="24"/>
                <w:rtl w:val="0"/>
              </w:rPr>
              <w:t xml:space="preserve">（點狀連接的網絡圖）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輻防教育訓練</w:t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（向上擴散的同心圓）</w:t>
            </w:r>
          </w:p>
        </w:tc>
      </w:tr>
    </w:tbl>
    <w:p w:rsidR="00000000" w:rsidDel="00000000" w:rsidP="00000000" w:rsidRDefault="00000000" w:rsidRPr="00000000" w14:paraId="0000000E">
      <w:pPr>
        <w:spacing w:after="16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Radiopharmaceuticals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14325" cy="314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Radiation Safety Systems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5816" cy="29581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16" cy="295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Radiation Protection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61950" cy="361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40年奠基核子醫學專業（年度里程碑）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1984年起，元新儀器配合各大醫院核醫部門導入日本FUJIFILM TOYAMA藥物，於心臟與骨骼造影提供關鍵診斷依據。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2016年元新儀器引進IZOTOP試劑、導入美國ZEVALIN放射免疫治療藥物與Gamma Probe定位儀，邁入診療合一世代。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2025年開展全方位輻防服務，進口日本UG-05高精準度注射輔助系統，並聘請輻防師開設輻防訓練課程。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2026年從業務銷售至運送服務皆符合 PIC/S GMP 相關認證（附證書圖）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color w:val="000000"/>
          <w:sz w:val="24"/>
          <w:szCs w:val="24"/>
          <w:rtl w:val="0"/>
        </w:rPr>
        <w:t xml:space="preserve">最新消息 Latest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PMingLiu" w:cs="PMingLiu" w:eastAsia="PMingLiu" w:hAnsi="PMingLiu"/>
          <w:color w:val="000000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color w:val="000000"/>
          <w:sz w:val="24"/>
          <w:szCs w:val="24"/>
          <w:rtl w:val="0"/>
        </w:rPr>
        <w:t xml:space="preserve">合作夥伴 原廠logo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產學資源 Academic Partnerships （外連</w:t>
      </w:r>
      <w:hyperlink r:id="rId10">
        <w:r w:rsidDel="00000000" w:rsidR="00000000" w:rsidRPr="00000000">
          <w:rPr>
            <w:color w:val="518b9b"/>
            <w:u w:val="single"/>
            <w:rtl w:val="0"/>
          </w:rPr>
          <w:t xml:space="preserve">中華民國核醫學學會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color w:val="518b9b"/>
            <w:u w:val="single"/>
            <w:rtl w:val="0"/>
          </w:rPr>
          <w:t xml:space="preserve">衛生福利部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color w:val="518b9b"/>
            <w:u w:val="single"/>
            <w:rtl w:val="0"/>
          </w:rPr>
          <w:t xml:space="preserve">核能安全委員會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color w:val="518b9b"/>
            <w:u w:val="single"/>
            <w:rtl w:val="0"/>
          </w:rPr>
          <w:t xml:space="preserve">中華民國放射線醫學會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color w:val="518b9b"/>
            <w:u w:val="single"/>
            <w:rtl w:val="0"/>
          </w:rPr>
          <w:t xml:space="preserve">中華民國醫事放射學會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color w:val="518b9b"/>
            <w:u w:val="single"/>
            <w:rtl w:val="0"/>
          </w:rPr>
          <w:t xml:space="preserve">台灣醫事檢驗學會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color w:val="518b9b"/>
            <w:u w:val="single"/>
            <w:rtl w:val="0"/>
          </w:rPr>
          <w:t xml:space="preserve">SNMMI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17">
        <w:r w:rsidDel="00000000" w:rsidR="00000000" w:rsidRPr="00000000">
          <w:rPr>
            <w:color w:val="518b9b"/>
            <w:u w:val="single"/>
            <w:rtl w:val="0"/>
          </w:rPr>
          <w:t xml:space="preserve">IAEA</w:t>
        </w:r>
      </w:hyperlink>
      <w:r w:rsidDel="00000000" w:rsidR="00000000" w:rsidRPr="00000000">
        <w:rPr>
          <w:sz w:val="24"/>
          <w:szCs w:val="24"/>
          <w:rtl w:val="0"/>
        </w:rPr>
        <w:t xml:space="preserve"> ）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產業洞察 Focus &amp; Events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聯繫我們 Support &amp; Inquiry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核醫製劑與診療 Radiopharmaceuticals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（資訊重點：代理藥品總覽，擴充性要強，結合智慧訂藥系統）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Comprehensive and Advanced Diagnostic &amp; Therapeutic Solutions （主視覺押字）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智慧訂藥系統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（跳轉至LINE客服官帳）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（人體展示）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SPECT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（人體展示）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PMingLiu" w:cs="PMingLiu" w:eastAsia="PMingLiu" w:hAnsi="PMingLiu"/>
          <w:color w:val="0f4761"/>
          <w:sz w:val="40"/>
          <w:szCs w:val="40"/>
        </w:rPr>
      </w:pPr>
      <w:r w:rsidDel="00000000" w:rsidR="00000000" w:rsidRPr="00000000">
        <w:rPr>
          <w:rtl w:val="0"/>
        </w:rPr>
        <w:t xml:space="preserve">體外放射免疫檢驗 Radiopharmaceuticals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（資訊重點：代理試劑總覽，擴充性要強，結合智慧訂藥系統）</w:t>
      </w:r>
    </w:p>
    <w:p w:rsidR="00000000" w:rsidDel="00000000" w:rsidP="00000000" w:rsidRDefault="00000000" w:rsidRPr="00000000" w14:paraId="0000002B">
      <w:pPr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Highly Sensitive and Reliable In Vitro Diagnostic Solutions （主視覺押字）</w:t>
      </w:r>
    </w:p>
    <w:p w:rsidR="00000000" w:rsidDel="00000000" w:rsidP="00000000" w:rsidRDefault="00000000" w:rsidRPr="00000000" w14:paraId="0000002C">
      <w:pPr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智慧訂藥系統</w:t>
      </w:r>
    </w:p>
    <w:p w:rsidR="00000000" w:rsidDel="00000000" w:rsidP="00000000" w:rsidRDefault="00000000" w:rsidRPr="00000000" w14:paraId="0000002D">
      <w:pPr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（跳轉至LINE客服官帳）</w:t>
      </w:r>
    </w:p>
    <w:p w:rsidR="00000000" w:rsidDel="00000000" w:rsidP="00000000" w:rsidRDefault="00000000" w:rsidRPr="00000000" w14:paraId="0000002E">
      <w:pPr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RIA</w:t>
      </w:r>
    </w:p>
    <w:p w:rsidR="00000000" w:rsidDel="00000000" w:rsidP="00000000" w:rsidRDefault="00000000" w:rsidRPr="00000000" w14:paraId="0000002F">
      <w:pPr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（直接展開）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輻射安全設備  Systems &amp; Shielding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（資訊重點：代理設備總覽）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輻防教育與顧問 Training &amp; Consulting</w:t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（資訊重點：保證取證的訓練、課程豐富性、解決現場痛點）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產業洞察 Focus &amp; Events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（資訊重點：受醫學社群認可）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（可自選文章主力推播）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All /  Product News / Events / Insights（ Filter Tabs 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關於我們 About YuanHsin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（資訊重點：與元新聯繫的管道暢通）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LINE官帳連結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MingLiu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MingLiu" w:cs="PMingLiu" w:eastAsia="PMingLiu" w:hAnsi="PMingLiu"/>
        <w:sz w:val="24"/>
        <w:szCs w:val="24"/>
        <w:lang w:val="en"/>
      </w:rPr>
    </w:rPrDefault>
    <w:pPrDefault>
      <w:pPr>
        <w:widowControl w:val="0"/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MingLiu" w:cs="PMingLiu" w:eastAsia="PMingLiu" w:hAnsi="PMingLiu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ohw.gov.tw/mp-1.html" TargetMode="External"/><Relationship Id="rId10" Type="http://schemas.openxmlformats.org/officeDocument/2006/relationships/hyperlink" Target="https://www.snm.org.tw/" TargetMode="External"/><Relationship Id="rId13" Type="http://schemas.openxmlformats.org/officeDocument/2006/relationships/hyperlink" Target="https://www.rsroc.org.tw/" TargetMode="External"/><Relationship Id="rId12" Type="http://schemas.openxmlformats.org/officeDocument/2006/relationships/hyperlink" Target="https://www.nusc.gov.tw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labmed.org.tw/" TargetMode="External"/><Relationship Id="rId14" Type="http://schemas.openxmlformats.org/officeDocument/2006/relationships/hyperlink" Target="https://www.twsrt.org.tw/" TargetMode="External"/><Relationship Id="rId17" Type="http://schemas.openxmlformats.org/officeDocument/2006/relationships/hyperlink" Target="https://www.iaea.org/" TargetMode="External"/><Relationship Id="rId16" Type="http://schemas.openxmlformats.org/officeDocument/2006/relationships/hyperlink" Target="https://google.com/search?q=SNMMI&amp;rlz=1C1CHZN_zh-TWTW1164TW1164&amp;oq=SNMMI&amp;gs_lcrp=EgZjaHJvbWUqBggAEEUYOzIGCAAQRRg7MgYIARBFGDsyBggCEEUYQTIGCAMQRRg8MgYIBBBFGDzSAQo2MDE5NTNqMGo0qAIAsAIA&amp;sourceid=chrome&amp;ie=UTF-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vhc8Yqyg2UPD+RQnlgcy+knOeA==">CgMxLjA4AHIhMVdJWHU4WnlqWUw0dXBsaXhpbG56OFVoTU95ZGE0VWti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