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A69F1" w14:textId="2999CAA9" w:rsidR="00732E46" w:rsidRDefault="00F857A0">
      <w:pPr>
        <w:widowControl w:val="0"/>
        <w:pBdr>
          <w:top w:val="nil"/>
          <w:left w:val="nil"/>
          <w:bottom w:val="nil"/>
          <w:right w:val="nil"/>
          <w:between w:val="nil"/>
        </w:pBdr>
        <w:spacing w:line="252" w:lineRule="auto"/>
        <w:jc w:val="both"/>
        <w:rPr>
          <w:color w:val="000000"/>
          <w:sz w:val="18"/>
          <w:szCs w:val="18"/>
        </w:rPr>
      </w:pPr>
      <w:r w:rsidRPr="00F857A0">
        <w:rPr>
          <w:kern w:val="28"/>
          <w:sz w:val="48"/>
          <w:szCs w:val="48"/>
        </w:rPr>
        <w:t xml:space="preserve">Automatic Chart Generation in Rhythm Games Using Deep Learning: A Case Study on "Taiko no </w:t>
      </w:r>
      <w:proofErr w:type="spellStart"/>
      <w:r w:rsidRPr="00F857A0">
        <w:rPr>
          <w:kern w:val="28"/>
          <w:sz w:val="48"/>
          <w:szCs w:val="48"/>
        </w:rPr>
        <w:t>Tatsujin</w:t>
      </w:r>
      <w:proofErr w:type="spellEnd"/>
      <w:r w:rsidRPr="00F857A0">
        <w:rPr>
          <w:kern w:val="28"/>
          <w:sz w:val="48"/>
          <w:szCs w:val="48"/>
        </w:rPr>
        <w:t>"</w:t>
      </w:r>
    </w:p>
    <w:p w14:paraId="6531D7CD" w14:textId="192A95C3"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 xml:space="preserve">First A. Author, </w:t>
      </w:r>
      <w:r>
        <w:rPr>
          <w:i/>
          <w:color w:val="000000"/>
          <w:sz w:val="22"/>
          <w:szCs w:val="22"/>
        </w:rPr>
        <w:t>Fellow, IEEE</w:t>
      </w:r>
      <w:r>
        <w:rPr>
          <w:color w:val="000000"/>
          <w:sz w:val="22"/>
          <w:szCs w:val="22"/>
        </w:rPr>
        <w:t xml:space="preserve">, Second B. Author, and Third C. Author Jr., </w:t>
      </w:r>
      <w:r>
        <w:rPr>
          <w:i/>
          <w:color w:val="000000"/>
          <w:sz w:val="22"/>
          <w:szCs w:val="22"/>
        </w:rPr>
        <w:t>Member, IEEE</w:t>
      </w: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567D5E52" w14:textId="77777777" w:rsidR="001C548F" w:rsidRPr="001C548F" w:rsidRDefault="000F2C11" w:rsidP="001C548F">
      <w:pPr>
        <w:pBdr>
          <w:top w:val="nil"/>
          <w:left w:val="nil"/>
          <w:bottom w:val="nil"/>
          <w:right w:val="nil"/>
          <w:between w:val="nil"/>
        </w:pBdr>
        <w:spacing w:before="20"/>
        <w:ind w:firstLine="202"/>
        <w:jc w:val="both"/>
        <w:rPr>
          <w:b/>
          <w:sz w:val="18"/>
          <w:szCs w:val="18"/>
        </w:rPr>
      </w:pPr>
      <w:r>
        <w:rPr>
          <w:b/>
          <w:i/>
          <w:color w:val="000000"/>
          <w:sz w:val="18"/>
          <w:szCs w:val="18"/>
        </w:rPr>
        <w:t>Abstract</w:t>
      </w:r>
      <w:r>
        <w:rPr>
          <w:b/>
          <w:color w:val="000000"/>
          <w:sz w:val="18"/>
          <w:szCs w:val="18"/>
        </w:rPr>
        <w:t>—</w:t>
      </w:r>
      <w:r w:rsidR="001C548F" w:rsidRPr="001C548F">
        <w:rPr>
          <w:b/>
          <w:sz w:val="18"/>
          <w:szCs w:val="18"/>
        </w:rPr>
        <w:t xml:space="preserve">This study presents Beat Understanding (BU), a deep learning-based framework for automatic chart generation in the rhythm game Taiko no </w:t>
      </w:r>
      <w:proofErr w:type="spellStart"/>
      <w:r w:rsidR="001C548F" w:rsidRPr="001C548F">
        <w:rPr>
          <w:b/>
          <w:sz w:val="18"/>
          <w:szCs w:val="18"/>
        </w:rPr>
        <w:t>Tatsujin</w:t>
      </w:r>
      <w:proofErr w:type="spellEnd"/>
      <w:r w:rsidR="001C548F" w:rsidRPr="001C548F">
        <w:rPr>
          <w:b/>
          <w:sz w:val="18"/>
          <w:szCs w:val="18"/>
        </w:rPr>
        <w:t>. We propose a comprehensive preprocessing pipeline that incorporates annotation normalization and sequence length alignment to enhance training stability and output quality. To address the challenges of label sparsity and inconsistent sequence lengths, a spectrogram-label alignment mechanism with zero-padding is introduced to ensure input uniformity. Additionally, a novel audio segmentation strategy combined with a temporal error correction algorithm is applied, significantly improving model prediction accuracy.</w:t>
      </w:r>
    </w:p>
    <w:p w14:paraId="22984A9B" w14:textId="77777777" w:rsidR="001C548F" w:rsidRPr="001C548F" w:rsidRDefault="001C548F" w:rsidP="001C548F">
      <w:pPr>
        <w:pBdr>
          <w:top w:val="nil"/>
          <w:left w:val="nil"/>
          <w:bottom w:val="nil"/>
          <w:right w:val="nil"/>
          <w:between w:val="nil"/>
        </w:pBdr>
        <w:spacing w:before="20"/>
        <w:ind w:firstLine="202"/>
        <w:jc w:val="both"/>
        <w:rPr>
          <w:b/>
          <w:sz w:val="18"/>
          <w:szCs w:val="18"/>
        </w:rPr>
      </w:pPr>
    </w:p>
    <w:p w14:paraId="4430B388" w14:textId="4772D57B" w:rsidR="00732E46" w:rsidRDefault="001C548F" w:rsidP="001C548F">
      <w:pPr>
        <w:pBdr>
          <w:top w:val="nil"/>
          <w:left w:val="nil"/>
          <w:bottom w:val="nil"/>
          <w:right w:val="nil"/>
          <w:between w:val="nil"/>
        </w:pBdr>
        <w:spacing w:before="20"/>
        <w:ind w:firstLine="202"/>
        <w:jc w:val="both"/>
        <w:rPr>
          <w:b/>
          <w:color w:val="000000"/>
          <w:sz w:val="18"/>
          <w:szCs w:val="18"/>
        </w:rPr>
      </w:pPr>
      <w:r w:rsidRPr="001C548F">
        <w:rPr>
          <w:b/>
          <w:sz w:val="18"/>
          <w:szCs w:val="18"/>
        </w:rPr>
        <w:t xml:space="preserve">Experimental results demonstrate that BU achieves strong performance in both hit-type classification and human-like rhythm pattern generation, reaching an average </w:t>
      </w:r>
      <w:proofErr w:type="spellStart"/>
      <w:r w:rsidRPr="001C548F">
        <w:rPr>
          <w:b/>
          <w:sz w:val="18"/>
          <w:szCs w:val="18"/>
        </w:rPr>
        <w:t>OCHuman</w:t>
      </w:r>
      <w:proofErr w:type="spellEnd"/>
      <w:r w:rsidRPr="001C548F">
        <w:rPr>
          <w:b/>
          <w:sz w:val="18"/>
          <w:szCs w:val="18"/>
        </w:rPr>
        <w:t xml:space="preserve"> score of 0.8426. These findings validate the effectiveness of the proposed slicing and alignment strategies in supporting structural modeling. Overall, our work provides empirical evidence and methodological guidance for advancing automatic chart generation in rhythm-based games.</w:t>
      </w:r>
    </w:p>
    <w:p w14:paraId="1B643D01" w14:textId="77777777" w:rsidR="00732E46" w:rsidRDefault="00732E46"/>
    <w:p w14:paraId="4B5FE2A0" w14:textId="35FC6568" w:rsidR="005C18AE" w:rsidRPr="00D050EC" w:rsidRDefault="000F2C11" w:rsidP="00D050EC">
      <w:pPr>
        <w:jc w:val="both"/>
        <w:rPr>
          <w:b/>
          <w:sz w:val="18"/>
          <w:szCs w:val="18"/>
        </w:rPr>
      </w:pPr>
      <w:bookmarkStart w:id="1" w:name="bookmark=id.30j0zll" w:colFirst="0" w:colLast="0"/>
      <w:bookmarkEnd w:id="1"/>
      <w:r>
        <w:rPr>
          <w:b/>
          <w:i/>
          <w:sz w:val="18"/>
          <w:szCs w:val="18"/>
        </w:rPr>
        <w:t>Index Terms</w:t>
      </w:r>
      <w:r>
        <w:rPr>
          <w:b/>
          <w:sz w:val="18"/>
          <w:szCs w:val="18"/>
        </w:rPr>
        <w:t>—Enter keywords or phrases in alphabetical order, separated by commas.</w:t>
      </w:r>
      <w:r w:rsidRPr="000D4F4C">
        <w:rPr>
          <w:b/>
          <w:sz w:val="18"/>
          <w:szCs w:val="18"/>
        </w:rPr>
        <w:t xml:space="preserve"> </w:t>
      </w:r>
      <w:r w:rsidR="002947C5" w:rsidRPr="00D050EC">
        <w:rPr>
          <w:b/>
          <w:sz w:val="18"/>
          <w:szCs w:val="18"/>
          <w:shd w:val="clear" w:color="auto" w:fill="FFFFFF"/>
        </w:rPr>
        <w:t>Using the </w:t>
      </w:r>
      <w:r w:rsidR="002947C5" w:rsidRPr="00D050EC">
        <w:rPr>
          <w:rStyle w:val="af8"/>
          <w:b/>
          <w:color w:val="000000"/>
          <w:sz w:val="18"/>
          <w:szCs w:val="18"/>
          <w:shd w:val="clear" w:color="auto" w:fill="FFFFFF"/>
        </w:rPr>
        <w:t>IEEE Thesaurus</w:t>
      </w:r>
      <w:r w:rsidR="002947C5" w:rsidRPr="00D050EC">
        <w:rPr>
          <w:b/>
          <w:sz w:val="18"/>
          <w:szCs w:val="18"/>
          <w:shd w:val="clear" w:color="auto" w:fill="FFFFFF"/>
        </w:rPr>
        <w:t> can help you find the best standardized keywords to fit your article. Use the</w:t>
      </w:r>
      <w:r w:rsidR="00BE4774">
        <w:rPr>
          <w:b/>
          <w:sz w:val="18"/>
          <w:szCs w:val="18"/>
          <w:shd w:val="clear" w:color="auto" w:fill="FFFFFF"/>
        </w:rPr>
        <w:t xml:space="preserve"> </w:t>
      </w:r>
      <w:r w:rsidR="00BE4774" w:rsidRPr="00D050EC">
        <w:rPr>
          <w:b/>
          <w:sz w:val="18"/>
          <w:szCs w:val="18"/>
        </w:rPr>
        <w:t>thesaurus access request form</w:t>
      </w:r>
      <w:r w:rsidR="002947C5" w:rsidRPr="00D050EC">
        <w:rPr>
          <w:b/>
          <w:sz w:val="18"/>
          <w:szCs w:val="18"/>
          <w:shd w:val="clear" w:color="auto" w:fill="FFFFFF"/>
        </w:rPr>
        <w:t> for free access to the </w:t>
      </w:r>
      <w:r w:rsidR="002947C5" w:rsidRPr="00D050EC">
        <w:rPr>
          <w:rStyle w:val="af8"/>
          <w:b/>
          <w:color w:val="000000"/>
          <w:sz w:val="18"/>
          <w:szCs w:val="18"/>
          <w:shd w:val="clear" w:color="auto" w:fill="FFFFFF"/>
        </w:rPr>
        <w:t>IEEE Thesaurus</w:t>
      </w:r>
      <w:r w:rsidR="00D10AC8">
        <w:rPr>
          <w:rStyle w:val="af8"/>
          <w:b/>
          <w:color w:val="000000"/>
          <w:sz w:val="18"/>
          <w:szCs w:val="18"/>
          <w:shd w:val="clear" w:color="auto" w:fill="FFFFFF"/>
        </w:rPr>
        <w:t xml:space="preserve"> </w:t>
      </w:r>
      <w:r w:rsidR="00D10AC8">
        <w:rPr>
          <w:rFonts w:ascii="Georgia" w:hAnsi="Georgia"/>
          <w:color w:val="222222"/>
          <w:shd w:val="clear" w:color="auto" w:fill="FFFFFF"/>
        </w:rPr>
        <w:t> </w:t>
      </w:r>
      <w:hyperlink r:id="rId10" w:tgtFrame="_blank" w:history="1">
        <w:r w:rsidR="00D10AC8" w:rsidRPr="00D10AC8">
          <w:rPr>
            <w:color w:val="1155CC"/>
            <w:spacing w:val="-2"/>
            <w:u w:val="single"/>
          </w:rPr>
          <w:t>https://www.ieee.org/publications/services/thesaurus.html</w:t>
        </w:r>
      </w:hyperlink>
      <w:r w:rsidR="002947C5" w:rsidRPr="00D10AC8">
        <w:rPr>
          <w:color w:val="1155CC"/>
          <w:spacing w:val="-2"/>
          <w:u w:val="single"/>
        </w:rPr>
        <w:t>.</w:t>
      </w:r>
      <w:r w:rsidR="002947C5" w:rsidRPr="00D050EC">
        <w:rPr>
          <w:b/>
          <w:sz w:val="18"/>
          <w:szCs w:val="18"/>
          <w:shd w:val="clear" w:color="auto" w:fill="FFFFFF"/>
        </w:rPr>
        <w:t> </w:t>
      </w:r>
    </w:p>
    <w:p w14:paraId="5D351EFE" w14:textId="7DC59E19" w:rsidR="00732E46" w:rsidRDefault="00732E46" w:rsidP="004063A4">
      <w:pPr>
        <w:pBdr>
          <w:top w:val="nil"/>
          <w:left w:val="nil"/>
          <w:bottom w:val="nil"/>
          <w:right w:val="nil"/>
          <w:between w:val="nil"/>
        </w:pBdr>
        <w:ind w:firstLine="202"/>
        <w:jc w:val="both"/>
      </w:pPr>
    </w:p>
    <w:p w14:paraId="59F2D0B6" w14:textId="11E53DD7" w:rsidR="00732E46" w:rsidRPr="0003442C" w:rsidRDefault="00DB3364" w:rsidP="00827FB8">
      <w:pPr>
        <w:pStyle w:val="1"/>
      </w:pPr>
      <w:r w:rsidRPr="008856C3">
        <w:t xml:space="preserve">I. </w:t>
      </w:r>
      <w:r w:rsidR="000F2C11" w:rsidRPr="008856C3">
        <w:t>I</w:t>
      </w:r>
      <w:r w:rsidR="000F2C11" w:rsidRPr="0003442C">
        <w:t>NTRODUCTION</w:t>
      </w:r>
    </w:p>
    <w:p w14:paraId="43794709" w14:textId="1537CAFB" w:rsidR="004063A4" w:rsidRPr="004063A4" w:rsidRDefault="001C548F" w:rsidP="004063A4">
      <w:pPr>
        <w:keepNext/>
        <w:framePr w:dropCap="drop" w:lines="3" w:wrap="around" w:vAnchor="text" w:hAnchor="text"/>
        <w:pBdr>
          <w:top w:val="nil"/>
          <w:left w:val="nil"/>
        </w:pBdr>
        <w:spacing w:line="724" w:lineRule="exact"/>
        <w:jc w:val="both"/>
        <w:textAlignment w:val="baseline"/>
        <w:rPr>
          <w:rFonts w:hint="eastAsia"/>
          <w:smallCaps/>
          <w:color w:val="000000"/>
          <w:position w:val="-9"/>
          <w:sz w:val="97"/>
          <w:lang w:eastAsia="zh-TW"/>
        </w:rPr>
      </w:pPr>
      <w:r>
        <w:rPr>
          <w:rFonts w:hint="eastAsia"/>
          <w:smallCaps/>
          <w:color w:val="000000"/>
          <w:position w:val="-9"/>
          <w:sz w:val="97"/>
          <w:lang w:eastAsia="zh-TW"/>
        </w:rPr>
        <w:t>W</w:t>
      </w:r>
    </w:p>
    <w:p w14:paraId="7012B9C0" w14:textId="7F69C8A6" w:rsidR="00F857A0" w:rsidRDefault="001C548F" w:rsidP="001C548F">
      <w:pPr>
        <w:widowControl w:val="0"/>
        <w:pBdr>
          <w:top w:val="nil"/>
          <w:left w:val="nil"/>
          <w:bottom w:val="nil"/>
          <w:right w:val="nil"/>
          <w:between w:val="nil"/>
        </w:pBdr>
        <w:spacing w:line="252" w:lineRule="auto"/>
        <w:jc w:val="both"/>
        <w:rPr>
          <w:color w:val="000000"/>
          <w:lang w:eastAsia="zh-TW"/>
        </w:rPr>
      </w:pPr>
      <w:r>
        <w:rPr>
          <w:rFonts w:hint="eastAsia"/>
          <w:smallCaps/>
          <w:color w:val="000000"/>
          <w:lang w:eastAsia="zh-TW"/>
        </w:rPr>
        <w:t>ITH</w:t>
      </w:r>
      <w:r w:rsidR="000F2C11">
        <w:rPr>
          <w:color w:val="000000"/>
        </w:rPr>
        <w:t xml:space="preserve"> </w:t>
      </w:r>
      <w:r w:rsidRPr="001C548F">
        <w:rPr>
          <w:color w:val="000000"/>
        </w:rPr>
        <w:t>the rapid advancement of digital music and interactive entertainment, enhancing music content understanding and generation through artificial intelligence (AI) has become a significant interdisciplinary research goal. Driven by the progress in AI and deep learning, effective application of these technologies in Music Information Retrieval (MIR)</w:t>
      </w:r>
      <w:r w:rsidRPr="001C548F">
        <w:rPr>
          <w:color w:val="000000"/>
        </w:rPr>
        <w:t xml:space="preserve"> </w:t>
      </w:r>
      <w:r>
        <w:rPr>
          <w:rFonts w:hint="eastAsia"/>
          <w:color w:val="000000"/>
          <w:lang w:eastAsia="zh-TW"/>
        </w:rPr>
        <w:t>[1]</w:t>
      </w:r>
      <w:r w:rsidR="00F857A0" w:rsidRPr="00F857A0">
        <w:t xml:space="preserve"> </w:t>
      </w:r>
      <w:r w:rsidR="00F857A0" w:rsidRPr="00F857A0">
        <w:rPr>
          <w:color w:val="000000"/>
          <w:lang w:eastAsia="zh-TW"/>
        </w:rPr>
        <w:t xml:space="preserve">has emerged as an important research area. Since the late 2010s, deep learning techniques have rapidly entered the MIR field, broadening its scope from traditional melody recognition and genre classification to applications such as audio tagging, automatic accompaniment, and interactive gaming, further advancing technologies like melody tracking, rhythm perception, audio source separation, and audio </w:t>
      </w:r>
      <w:proofErr w:type="gramStart"/>
      <w:r w:rsidR="00F857A0" w:rsidRPr="00F857A0">
        <w:rPr>
          <w:color w:val="000000"/>
          <w:lang w:eastAsia="zh-TW"/>
        </w:rPr>
        <w:t>generation</w:t>
      </w:r>
      <w:r w:rsidR="00F857A0">
        <w:rPr>
          <w:rFonts w:hint="eastAsia"/>
          <w:color w:val="000000"/>
          <w:lang w:eastAsia="zh-TW"/>
        </w:rPr>
        <w:t>[</w:t>
      </w:r>
      <w:proofErr w:type="gramEnd"/>
      <w:r w:rsidR="00F857A0">
        <w:rPr>
          <w:rFonts w:hint="eastAsia"/>
          <w:color w:val="000000"/>
          <w:lang w:eastAsia="zh-TW"/>
        </w:rPr>
        <w:t>2]</w:t>
      </w:r>
      <w:r w:rsidR="00F857A0" w:rsidRPr="00F857A0">
        <w:rPr>
          <w:color w:val="000000"/>
          <w:lang w:eastAsia="zh-TW"/>
        </w:rPr>
        <w:t xml:space="preserve">. Among these, Automatic Chart </w:t>
      </w:r>
      <w:proofErr w:type="gramStart"/>
      <w:r w:rsidR="00F857A0" w:rsidRPr="00F857A0">
        <w:rPr>
          <w:color w:val="000000"/>
          <w:lang w:eastAsia="zh-TW"/>
        </w:rPr>
        <w:t>Generation</w:t>
      </w:r>
      <w:r w:rsidR="00F857A0">
        <w:rPr>
          <w:rFonts w:hint="eastAsia"/>
          <w:color w:val="000000"/>
          <w:lang w:eastAsia="zh-TW"/>
        </w:rPr>
        <w:t>[</w:t>
      </w:r>
      <w:proofErr w:type="gramEnd"/>
      <w:r w:rsidR="00F857A0">
        <w:rPr>
          <w:rFonts w:hint="eastAsia"/>
          <w:color w:val="000000"/>
          <w:lang w:eastAsia="zh-TW"/>
        </w:rPr>
        <w:t>3]</w:t>
      </w:r>
      <w:r w:rsidR="00F857A0" w:rsidRPr="00F857A0">
        <w:rPr>
          <w:color w:val="000000"/>
          <w:lang w:eastAsia="zh-TW"/>
        </w:rPr>
        <w:t>, which simultaneously handles audio feature interpretation, rhythm structure analysis, and human behavior simulation, is regarded as a key challenge integrating MIR, deep learning, and human-computer interaction.</w:t>
      </w:r>
    </w:p>
    <w:p w14:paraId="6FD90BFE" w14:textId="04199F6E" w:rsidR="00F857A0" w:rsidRPr="00F857A0" w:rsidRDefault="00F857A0" w:rsidP="00F857A0">
      <w:pPr>
        <w:widowControl w:val="0"/>
        <w:pBdr>
          <w:top w:val="nil"/>
          <w:left w:val="nil"/>
          <w:bottom w:val="nil"/>
          <w:right w:val="nil"/>
          <w:between w:val="nil"/>
        </w:pBdr>
        <w:spacing w:line="252" w:lineRule="auto"/>
        <w:ind w:firstLineChars="100" w:firstLine="200"/>
        <w:jc w:val="both"/>
        <w:rPr>
          <w:rFonts w:hint="eastAsia"/>
          <w:color w:val="000000"/>
          <w:lang w:eastAsia="zh-TW"/>
        </w:rPr>
      </w:pPr>
      <w:r w:rsidRPr="00F857A0">
        <w:rPr>
          <w:color w:val="000000"/>
          <w:lang w:eastAsia="zh-TW"/>
        </w:rPr>
        <w:t>Rhythm games offer a unique and representative research platform among various application scenarios. Particularly, games such as</w:t>
      </w:r>
    </w:p>
    <w:p w14:paraId="277A9EE8" w14:textId="77777777" w:rsidR="001C548F" w:rsidRDefault="001C548F" w:rsidP="001C548F">
      <w:pPr>
        <w:widowControl w:val="0"/>
        <w:pBdr>
          <w:top w:val="nil"/>
          <w:left w:val="nil"/>
          <w:bottom w:val="nil"/>
          <w:right w:val="nil"/>
          <w:between w:val="nil"/>
        </w:pBdr>
        <w:spacing w:line="252" w:lineRule="auto"/>
        <w:jc w:val="both"/>
        <w:rPr>
          <w:color w:val="000000"/>
        </w:rPr>
      </w:pPr>
    </w:p>
    <w:p w14:paraId="70FAF641" w14:textId="77777777" w:rsidR="001C548F" w:rsidRDefault="001C548F" w:rsidP="001C548F">
      <w:pPr>
        <w:widowControl w:val="0"/>
        <w:pBdr>
          <w:top w:val="nil"/>
          <w:left w:val="nil"/>
          <w:bottom w:val="nil"/>
          <w:right w:val="nil"/>
          <w:between w:val="nil"/>
        </w:pBdr>
        <w:spacing w:line="252" w:lineRule="auto"/>
        <w:jc w:val="both"/>
        <w:rPr>
          <w:color w:val="000000"/>
        </w:rPr>
      </w:pPr>
    </w:p>
    <w:p w14:paraId="5900946D" w14:textId="77777777" w:rsidR="001C548F" w:rsidRDefault="001C548F" w:rsidP="001C548F">
      <w:pPr>
        <w:widowControl w:val="0"/>
        <w:pBdr>
          <w:top w:val="nil"/>
          <w:left w:val="nil"/>
          <w:bottom w:val="nil"/>
          <w:right w:val="nil"/>
          <w:between w:val="nil"/>
        </w:pBdr>
        <w:spacing w:line="252" w:lineRule="auto"/>
        <w:jc w:val="both"/>
        <w:rPr>
          <w:color w:val="000000"/>
        </w:rPr>
      </w:pPr>
    </w:p>
    <w:p w14:paraId="48CB75CA" w14:textId="66C61AD7" w:rsidR="00732E46" w:rsidRPr="00A65256" w:rsidRDefault="000F2C11" w:rsidP="001C548F">
      <w:pPr>
        <w:widowControl w:val="0"/>
        <w:pBdr>
          <w:top w:val="nil"/>
          <w:left w:val="nil"/>
          <w:bottom w:val="nil"/>
          <w:right w:val="nil"/>
          <w:between w:val="nil"/>
        </w:pBdr>
        <w:spacing w:line="252" w:lineRule="auto"/>
        <w:jc w:val="both"/>
        <w:rPr>
          <w:spacing w:val="-2"/>
        </w:rPr>
      </w:pPr>
      <w:r w:rsidRPr="00A65256">
        <w:rPr>
          <w:spacing w:val="-2"/>
        </w:rPr>
        <w:t xml:space="preserve">The </w:t>
      </w:r>
      <w:r w:rsidRPr="00A65256">
        <w:rPr>
          <w:i/>
          <w:iCs/>
          <w:spacing w:val="-2"/>
        </w:rPr>
        <w:t xml:space="preserve">IEEE Editorial Style Manual </w:t>
      </w:r>
      <w:r w:rsidR="00A853F3" w:rsidRPr="00A65256">
        <w:rPr>
          <w:i/>
          <w:iCs/>
          <w:spacing w:val="-2"/>
        </w:rPr>
        <w:t>f</w:t>
      </w:r>
      <w:r w:rsidRPr="00A65256">
        <w:rPr>
          <w:i/>
          <w:iCs/>
          <w:spacing w:val="-2"/>
        </w:rPr>
        <w:t>or Authors</w:t>
      </w:r>
      <w:r w:rsidRPr="00A65256">
        <w:rPr>
          <w:spacing w:val="-2"/>
        </w:rPr>
        <w:t xml:space="preserve"> is available at </w:t>
      </w:r>
      <w:hyperlink r:id="rId11">
        <w:r w:rsidRPr="00A65256">
          <w:rPr>
            <w:color w:val="1155CC"/>
            <w:spacing w:val="-2"/>
            <w:u w:val="single"/>
          </w:rPr>
          <w:t>https://journals.ieeeauthorcenter.ieee.org/create-your-ieee-journal-article/create-the-text-of-your-article/ieee-editorial-style-manual/</w:t>
        </w:r>
      </w:hyperlink>
      <w:r w:rsidRPr="00A65256">
        <w:rPr>
          <w:color w:val="1155CC"/>
          <w:spacing w:val="-2"/>
          <w:sz w:val="19"/>
          <w:szCs w:val="19"/>
          <w:highlight w:val="white"/>
          <w:u w:val="single"/>
        </w:rPr>
        <w:t>.</w:t>
      </w:r>
      <w:r w:rsidRPr="00A65256">
        <w:rPr>
          <w:spacing w:val="-2"/>
        </w:rPr>
        <w:t xml:space="preserve"> This contains a formal set of editorial guidelines for IEEE Transactions, Journals, and Letters, including:</w:t>
      </w:r>
    </w:p>
    <w:p w14:paraId="5448429C" w14:textId="77777777" w:rsidR="00A853F3" w:rsidRPr="00A853F3" w:rsidRDefault="00A853F3" w:rsidP="00A65256">
      <w:pPr>
        <w:widowControl w:val="0"/>
        <w:pBdr>
          <w:top w:val="nil"/>
          <w:left w:val="nil"/>
          <w:bottom w:val="nil"/>
          <w:right w:val="nil"/>
          <w:between w:val="nil"/>
        </w:pBdr>
        <w:spacing w:before="80" w:line="252" w:lineRule="auto"/>
        <w:ind w:firstLine="180"/>
        <w:rPr>
          <w:u w:val="double"/>
        </w:rPr>
      </w:pPr>
    </w:p>
    <w:p w14:paraId="40729C54" w14:textId="77777777" w:rsidR="00732E46" w:rsidRDefault="000F2C11">
      <w:pPr>
        <w:widowControl w:val="0"/>
        <w:numPr>
          <w:ilvl w:val="0"/>
          <w:numId w:val="2"/>
        </w:numPr>
        <w:spacing w:line="252" w:lineRule="auto"/>
        <w:jc w:val="both"/>
      </w:pPr>
      <w:r>
        <w:t>punctuation;</w:t>
      </w:r>
    </w:p>
    <w:p w14:paraId="07E41A1C" w14:textId="77777777" w:rsidR="00732E46" w:rsidRDefault="000F2C11">
      <w:pPr>
        <w:widowControl w:val="0"/>
        <w:numPr>
          <w:ilvl w:val="0"/>
          <w:numId w:val="2"/>
        </w:numPr>
        <w:spacing w:line="252" w:lineRule="auto"/>
        <w:jc w:val="both"/>
      </w:pPr>
      <w:r>
        <w:t>capitalization;</w:t>
      </w:r>
    </w:p>
    <w:p w14:paraId="54CA649C" w14:textId="77777777" w:rsidR="00732E46" w:rsidRDefault="000F2C11">
      <w:pPr>
        <w:widowControl w:val="0"/>
        <w:numPr>
          <w:ilvl w:val="0"/>
          <w:numId w:val="2"/>
        </w:numPr>
        <w:spacing w:line="252" w:lineRule="auto"/>
        <w:jc w:val="both"/>
      </w:pPr>
      <w:r>
        <w:t>abbreviations;</w:t>
      </w:r>
    </w:p>
    <w:p w14:paraId="7382969A" w14:textId="77777777" w:rsidR="00732E46" w:rsidRDefault="000F2C11">
      <w:pPr>
        <w:widowControl w:val="0"/>
        <w:numPr>
          <w:ilvl w:val="0"/>
          <w:numId w:val="2"/>
        </w:numPr>
        <w:spacing w:line="252" w:lineRule="auto"/>
        <w:jc w:val="both"/>
      </w:pPr>
      <w:r>
        <w:t>section headings;</w:t>
      </w:r>
    </w:p>
    <w:p w14:paraId="73D87B4B" w14:textId="77777777" w:rsidR="00732E46" w:rsidRDefault="000F2C11">
      <w:pPr>
        <w:widowControl w:val="0"/>
        <w:numPr>
          <w:ilvl w:val="0"/>
          <w:numId w:val="2"/>
        </w:numPr>
        <w:spacing w:line="252" w:lineRule="auto"/>
        <w:jc w:val="both"/>
      </w:pPr>
      <w:r>
        <w:t>numbers, equations;</w:t>
      </w:r>
    </w:p>
    <w:p w14:paraId="52FED512" w14:textId="77777777" w:rsidR="00732E46" w:rsidRDefault="000F2C11">
      <w:pPr>
        <w:widowControl w:val="0"/>
        <w:numPr>
          <w:ilvl w:val="0"/>
          <w:numId w:val="2"/>
        </w:numPr>
        <w:spacing w:line="252" w:lineRule="auto"/>
        <w:jc w:val="both"/>
      </w:pPr>
      <w:r>
        <w:t>footnotes;</w:t>
      </w:r>
    </w:p>
    <w:p w14:paraId="1540F1E0" w14:textId="77777777" w:rsidR="00732E46" w:rsidRDefault="000F2C11">
      <w:pPr>
        <w:widowControl w:val="0"/>
        <w:numPr>
          <w:ilvl w:val="0"/>
          <w:numId w:val="2"/>
        </w:numPr>
        <w:spacing w:line="252" w:lineRule="auto"/>
        <w:jc w:val="both"/>
      </w:pPr>
      <w:r>
        <w:t>biographies;</w:t>
      </w:r>
    </w:p>
    <w:p w14:paraId="778BEC26" w14:textId="77777777" w:rsidR="00732E46" w:rsidRDefault="000F2C11">
      <w:pPr>
        <w:widowControl w:val="0"/>
        <w:numPr>
          <w:ilvl w:val="0"/>
          <w:numId w:val="2"/>
        </w:numPr>
        <w:spacing w:line="252" w:lineRule="auto"/>
        <w:jc w:val="both"/>
      </w:pPr>
      <w:r>
        <w:t>some common mistakes;</w:t>
      </w:r>
    </w:p>
    <w:p w14:paraId="4DEF5C79" w14:textId="77777777" w:rsidR="00732E46" w:rsidRDefault="000F2C11">
      <w:pPr>
        <w:widowControl w:val="0"/>
        <w:numPr>
          <w:ilvl w:val="0"/>
          <w:numId w:val="2"/>
        </w:numPr>
        <w:spacing w:line="252" w:lineRule="auto"/>
        <w:jc w:val="both"/>
      </w:pPr>
      <w:r>
        <w:t>units of measurement.</w:t>
      </w:r>
    </w:p>
    <w:p w14:paraId="72BB72BC" w14:textId="77777777" w:rsidR="00732E46" w:rsidRDefault="00732E46" w:rsidP="00A65256">
      <w:pPr>
        <w:widowControl w:val="0"/>
        <w:spacing w:before="40" w:line="252" w:lineRule="auto"/>
        <w:ind w:firstLine="202"/>
        <w:jc w:val="both"/>
      </w:pPr>
    </w:p>
    <w:p w14:paraId="1C2D7BE7"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Communicate your work clearly. If you are not fully proficient in English, consider using an English language editing service before submitting your article. An expert editing service can help you refine the use of English in your article, so you can communicate your work more effectively.</w:t>
      </w:r>
    </w:p>
    <w:p w14:paraId="17F70C16"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The use of an editing service is paid for by the author. It </w:t>
      </w:r>
      <w:r>
        <w:rPr>
          <w:color w:val="000000"/>
        </w:rPr>
        <w:lastRenderedPageBreak/>
        <w:t xml:space="preserve">does not guarantee acceptance in an IEEE publication. For more information, visit the IEEE Author Center at </w:t>
      </w:r>
      <w:hyperlink r:id="rId12" w:anchor="editing-service">
        <w:r>
          <w:rPr>
            <w:color w:val="1155CC"/>
            <w:u w:val="single"/>
          </w:rPr>
          <w:t>https://journals.ieeeauthorcenter.ieee.org/create-your-ieee-journal-article/create-the-text-of-your-article/structure-your-article/#editing-service</w:t>
        </w:r>
      </w:hyperlink>
      <w:r>
        <w:rPr>
          <w:color w:val="000000"/>
        </w:rPr>
        <w:t>.</w:t>
      </w:r>
    </w:p>
    <w:p w14:paraId="7B97602F" w14:textId="774C00D9" w:rsidR="00732E46" w:rsidRDefault="00DB3364" w:rsidP="00C7592D">
      <w:pPr>
        <w:pStyle w:val="1"/>
        <w:spacing w:before="250"/>
      </w:pPr>
      <w:r>
        <w:t xml:space="preserve">II. </w:t>
      </w:r>
      <w:r w:rsidR="000F2C11">
        <w:t>Guidelines For Manuscript Preparation</w:t>
      </w:r>
    </w:p>
    <w:p w14:paraId="0C169AB7" w14:textId="25E573D4" w:rsidR="00A853F3" w:rsidRDefault="000F2C11" w:rsidP="00A853F3">
      <w:pPr>
        <w:widowControl w:val="0"/>
        <w:pBdr>
          <w:top w:val="nil"/>
          <w:left w:val="nil"/>
          <w:bottom w:val="nil"/>
          <w:right w:val="nil"/>
          <w:between w:val="nil"/>
        </w:pBdr>
        <w:spacing w:line="252" w:lineRule="auto"/>
        <w:ind w:firstLine="202"/>
        <w:jc w:val="both"/>
      </w:pPr>
      <w:r>
        <w:rPr>
          <w:color w:val="000000"/>
        </w:rPr>
        <w:t xml:space="preserve">When you open </w:t>
      </w:r>
      <w:r w:rsidR="00A41540">
        <w:rPr>
          <w:color w:val="000000"/>
        </w:rPr>
        <w:t>the template</w:t>
      </w:r>
      <w:r>
        <w:rPr>
          <w:color w:val="000000"/>
        </w:rPr>
        <w:t xml:space="preserve">, select “Page Layout” from the “View” menu in the menu bar (View | Page Layout), (these instructions assume </w:t>
      </w:r>
      <w:r>
        <w:t xml:space="preserve">Microsoft </w:t>
      </w:r>
      <w:r>
        <w:rPr>
          <w:i/>
        </w:rPr>
        <w:t>Word</w:t>
      </w:r>
      <w:r>
        <w:rPr>
          <w:color w:val="000000"/>
        </w:rPr>
        <w:t xml:space="preserve">. Some versions may have </w:t>
      </w:r>
      <w:r w:rsidR="00A853F3">
        <w:rPr>
          <w:noProof/>
        </w:rPr>
        <w:drawing>
          <wp:inline distT="114300" distB="114300" distL="114300" distR="114300" wp14:anchorId="14C5FDEB" wp14:editId="0AAADB32">
            <wp:extent cx="3029903" cy="192405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3029903" cy="1924050"/>
                    </a:xfrm>
                    <a:prstGeom prst="rect">
                      <a:avLst/>
                    </a:prstGeom>
                    <a:ln/>
                  </pic:spPr>
                </pic:pic>
              </a:graphicData>
            </a:graphic>
          </wp:inline>
        </w:drawing>
      </w:r>
      <w:r w:rsidR="00A853F3" w:rsidRPr="00A853F3">
        <w:rPr>
          <w:b/>
        </w:rPr>
        <w:t xml:space="preserve"> </w:t>
      </w:r>
      <w:r w:rsidR="00A853F3">
        <w:rPr>
          <w:b/>
        </w:rPr>
        <w:t>Fig. 1.</w:t>
      </w:r>
      <w:r w:rsidR="00A853F3">
        <w:t xml:space="preserve"> This is a sample of a figure caption.</w:t>
      </w:r>
    </w:p>
    <w:p w14:paraId="47CE4E1D" w14:textId="0ECF7F6E" w:rsidR="00A853F3" w:rsidRDefault="00A853F3" w:rsidP="00A853F3">
      <w:pPr>
        <w:widowControl w:val="0"/>
        <w:pBdr>
          <w:top w:val="nil"/>
          <w:left w:val="nil"/>
          <w:bottom w:val="nil"/>
          <w:right w:val="nil"/>
          <w:between w:val="nil"/>
        </w:pBdr>
        <w:spacing w:line="252" w:lineRule="auto"/>
        <w:ind w:firstLine="202"/>
        <w:jc w:val="both"/>
        <w:rPr>
          <w:color w:val="000000"/>
        </w:rPr>
      </w:pPr>
    </w:p>
    <w:p w14:paraId="7951F41D" w14:textId="360EB70B" w:rsidR="00732E46" w:rsidRPr="00D050EC" w:rsidRDefault="000F2C11" w:rsidP="00A853F3">
      <w:pPr>
        <w:widowControl w:val="0"/>
        <w:pBdr>
          <w:top w:val="nil"/>
          <w:left w:val="nil"/>
          <w:bottom w:val="nil"/>
          <w:right w:val="nil"/>
          <w:between w:val="nil"/>
        </w:pBdr>
        <w:spacing w:line="252" w:lineRule="auto"/>
        <w:jc w:val="both"/>
        <w:rPr>
          <w:color w:val="000000"/>
          <w:spacing w:val="-2"/>
        </w:rPr>
      </w:pPr>
      <w:r w:rsidRPr="00D050EC">
        <w:rPr>
          <w:color w:val="000000"/>
          <w:spacing w:val="-2"/>
        </w:rPr>
        <w:t xml:space="preserve">alternate ways to access the same functionalities noted here). Then, type over sections of </w:t>
      </w:r>
      <w:r w:rsidR="00660F88" w:rsidRPr="00D050EC">
        <w:rPr>
          <w:color w:val="000000"/>
          <w:spacing w:val="-2"/>
        </w:rPr>
        <w:t>the template</w:t>
      </w:r>
      <w:r w:rsidRPr="00D050EC">
        <w:rPr>
          <w:color w:val="000000"/>
          <w:spacing w:val="-2"/>
        </w:rPr>
        <w:t xml:space="preserve"> or cut and paste from another document and use markup styles. The pull-down</w:t>
      </w:r>
      <w:r w:rsidR="00A853F3" w:rsidRPr="00D050EC">
        <w:rPr>
          <w:color w:val="000000"/>
          <w:spacing w:val="-2"/>
        </w:rPr>
        <w:t xml:space="preserve"> </w:t>
      </w:r>
      <w:r w:rsidRPr="00D050EC">
        <w:rPr>
          <w:color w:val="000000"/>
          <w:spacing w:val="-2"/>
        </w:rPr>
        <w:t xml:space="preserve">style menu is </w:t>
      </w:r>
      <w:r w:rsidRPr="00D050EC">
        <w:rPr>
          <w:spacing w:val="-2"/>
        </w:rPr>
        <w:t>in</w:t>
      </w:r>
      <w:r w:rsidRPr="00D050EC">
        <w:rPr>
          <w:color w:val="000000"/>
          <w:spacing w:val="-2"/>
        </w:rPr>
        <w:t xml:space="preserve"> the Formatting Toolbar at the top of your </w:t>
      </w:r>
      <w:r w:rsidRPr="00D050EC">
        <w:rPr>
          <w:i/>
          <w:color w:val="000000"/>
          <w:spacing w:val="-2"/>
        </w:rPr>
        <w:t>Word</w:t>
      </w:r>
      <w:r w:rsidRPr="00D050EC">
        <w:rPr>
          <w:color w:val="000000"/>
          <w:spacing w:val="-2"/>
        </w:rPr>
        <w:t xml:space="preserve"> window (</w:t>
      </w:r>
      <w:r w:rsidR="00357347" w:rsidRPr="00D050EC">
        <w:rPr>
          <w:color w:val="000000"/>
          <w:spacing w:val="-2"/>
        </w:rPr>
        <w:t>e.g.</w:t>
      </w:r>
      <w:r w:rsidRPr="00D050EC">
        <w:rPr>
          <w:color w:val="000000"/>
          <w:spacing w:val="-2"/>
        </w:rPr>
        <w:t>, the style at this point in the document is “Text”). Highlight a section that you want to designate with a certain style, and then select the appropriate name on the style menu. The style will adjust your fonts and line spacing. Do not change the font sizes or line spacing to squeeze more text into a limited number of pages.</w:t>
      </w:r>
      <w:r w:rsidRPr="00D050EC">
        <w:rPr>
          <w:b/>
          <w:color w:val="000000"/>
          <w:spacing w:val="-2"/>
        </w:rPr>
        <w:t xml:space="preserve"> </w:t>
      </w:r>
      <w:r w:rsidRPr="00D050EC">
        <w:rPr>
          <w:color w:val="000000"/>
          <w:spacing w:val="-2"/>
        </w:rPr>
        <w:t xml:space="preserve">Use </w:t>
      </w:r>
      <w:r w:rsidRPr="00D050EC">
        <w:rPr>
          <w:i/>
          <w:color w:val="000000"/>
          <w:spacing w:val="-2"/>
        </w:rPr>
        <w:t>italics</w:t>
      </w:r>
      <w:r w:rsidRPr="00D050EC">
        <w:rPr>
          <w:color w:val="000000"/>
          <w:spacing w:val="-2"/>
        </w:rPr>
        <w:t xml:space="preserve"> for emphasis; do not underline. </w:t>
      </w:r>
    </w:p>
    <w:p w14:paraId="1EBE8CFF" w14:textId="77777777" w:rsidR="00DC758F" w:rsidRDefault="000F2C11" w:rsidP="00DC758F">
      <w:pPr>
        <w:widowControl w:val="0"/>
        <w:pBdr>
          <w:top w:val="nil"/>
          <w:left w:val="nil"/>
          <w:bottom w:val="nil"/>
          <w:right w:val="nil"/>
          <w:between w:val="nil"/>
        </w:pBdr>
        <w:spacing w:line="252" w:lineRule="auto"/>
        <w:ind w:firstLine="202"/>
        <w:jc w:val="both"/>
        <w:rPr>
          <w:color w:val="000000"/>
        </w:rPr>
      </w:pPr>
      <w:r>
        <w:rPr>
          <w:color w:val="000000"/>
        </w:rPr>
        <w:t xml:space="preserve">IEEE will do the final formatting of your </w:t>
      </w:r>
      <w:r>
        <w:t>article</w:t>
      </w:r>
      <w:r>
        <w:rPr>
          <w:color w:val="000000"/>
        </w:rPr>
        <w:t xml:space="preserve">. If your </w:t>
      </w:r>
      <w:r>
        <w:t xml:space="preserve">article </w:t>
      </w:r>
      <w:r>
        <w:rPr>
          <w:color w:val="000000"/>
        </w:rPr>
        <w:t>is intended for a conference, please observe the conference page limits.</w:t>
      </w:r>
    </w:p>
    <w:p w14:paraId="580F0547" w14:textId="5AEDCB4C" w:rsidR="00732E46" w:rsidRDefault="0096199E" w:rsidP="00DC758F">
      <w:pPr>
        <w:widowControl w:val="0"/>
        <w:pBdr>
          <w:top w:val="nil"/>
          <w:left w:val="nil"/>
          <w:bottom w:val="nil"/>
          <w:right w:val="nil"/>
          <w:between w:val="nil"/>
        </w:pBdr>
        <w:spacing w:line="252" w:lineRule="auto"/>
        <w:ind w:firstLine="202"/>
        <w:jc w:val="both"/>
        <w:rPr>
          <w:color w:val="000000"/>
        </w:rPr>
      </w:pPr>
      <w:r>
        <w:rPr>
          <w:color w:val="000000"/>
        </w:rPr>
        <w:t>This is intended as</w:t>
      </w:r>
      <w:r w:rsidR="00DC758F" w:rsidRPr="00DC758F">
        <w:rPr>
          <w:color w:val="000000"/>
        </w:rPr>
        <w:t xml:space="preserve"> an authoring template, not a final production template</w:t>
      </w:r>
      <w:r w:rsidR="00DC758F">
        <w:rPr>
          <w:color w:val="000000"/>
        </w:rPr>
        <w:t>.</w:t>
      </w:r>
      <w:r w:rsidR="00DC758F" w:rsidRPr="00DC758F">
        <w:rPr>
          <w:color w:val="000000"/>
        </w:rPr>
        <w:t xml:space="preserve"> </w:t>
      </w:r>
      <w:r w:rsidR="00DC758F">
        <w:rPr>
          <w:color w:val="000000"/>
        </w:rPr>
        <w:t xml:space="preserve">It is not </w:t>
      </w:r>
      <w:r w:rsidR="00DC758F" w:rsidRPr="00DC758F">
        <w:rPr>
          <w:color w:val="000000"/>
        </w:rPr>
        <w:t>intended to match the final published format.</w:t>
      </w:r>
      <w:r w:rsidR="00DC758F">
        <w:rPr>
          <w:color w:val="000000"/>
        </w:rPr>
        <w:t xml:space="preserve"> D</w:t>
      </w:r>
      <w:r w:rsidR="00DC758F" w:rsidRPr="00DC758F">
        <w:rPr>
          <w:color w:val="000000"/>
        </w:rPr>
        <w:t>ifferences in final formatting</w:t>
      </w:r>
      <w:r w:rsidR="00DC758F">
        <w:rPr>
          <w:color w:val="000000"/>
        </w:rPr>
        <w:t xml:space="preserve"> are likely in the final IEEE files</w:t>
      </w:r>
      <w:r w:rsidR="00DC758F" w:rsidRPr="00DC758F">
        <w:rPr>
          <w:color w:val="000000"/>
        </w:rPr>
        <w:t>.</w:t>
      </w:r>
      <w:r w:rsidR="00DC758F">
        <w:rPr>
          <w:color w:val="000000"/>
        </w:rPr>
        <w:t xml:space="preserve"> </w:t>
      </w:r>
      <w:r w:rsidR="00DC758F" w:rsidRPr="00DC758F">
        <w:rPr>
          <w:color w:val="000000"/>
        </w:rPr>
        <w:t xml:space="preserve">Page count </w:t>
      </w:r>
      <w:r w:rsidR="00DC758F">
        <w:rPr>
          <w:color w:val="000000"/>
        </w:rPr>
        <w:t xml:space="preserve">in the template </w:t>
      </w:r>
      <w:r w:rsidR="00DC758F" w:rsidRPr="00DC758F">
        <w:rPr>
          <w:color w:val="000000"/>
        </w:rPr>
        <w:t>is an estimate</w:t>
      </w:r>
      <w:r w:rsidR="00DC758F">
        <w:rPr>
          <w:color w:val="000000"/>
        </w:rPr>
        <w:t>.</w:t>
      </w:r>
      <w:r w:rsidR="00DC758F" w:rsidRPr="00DC758F">
        <w:rPr>
          <w:color w:val="000000"/>
        </w:rPr>
        <w:t xml:space="preserve"> </w:t>
      </w:r>
      <w:r>
        <w:rPr>
          <w:color w:val="000000"/>
        </w:rPr>
        <w:t>Do not adjust line and character spacing to fit your paper to a specific length.</w:t>
      </w:r>
    </w:p>
    <w:p w14:paraId="534A61AA" w14:textId="77777777" w:rsidR="00732E46" w:rsidRDefault="00732E46">
      <w:pPr>
        <w:widowControl w:val="0"/>
        <w:pBdr>
          <w:top w:val="nil"/>
          <w:left w:val="nil"/>
          <w:bottom w:val="nil"/>
          <w:right w:val="nil"/>
          <w:between w:val="nil"/>
        </w:pBdr>
        <w:spacing w:line="252" w:lineRule="auto"/>
        <w:ind w:firstLine="202"/>
        <w:jc w:val="both"/>
      </w:pPr>
    </w:p>
    <w:p w14:paraId="6E775EAE" w14:textId="1CB7CF47" w:rsidR="00732E46" w:rsidRDefault="00DB3364" w:rsidP="00DB3364">
      <w:pPr>
        <w:pStyle w:val="2"/>
        <w:numPr>
          <w:ilvl w:val="0"/>
          <w:numId w:val="0"/>
        </w:numPr>
      </w:pPr>
      <w:r>
        <w:t xml:space="preserve">A. </w:t>
      </w:r>
      <w:r w:rsidR="000F2C11">
        <w:t>Abbreviations and Acronyms</w:t>
      </w:r>
    </w:p>
    <w:p w14:paraId="3EB8FD4C" w14:textId="41FB62CF" w:rsidR="00732E46" w:rsidRDefault="000F2C11" w:rsidP="0096199E">
      <w:pPr>
        <w:widowControl w:val="0"/>
        <w:pBdr>
          <w:top w:val="nil"/>
          <w:left w:val="nil"/>
          <w:bottom w:val="nil"/>
          <w:right w:val="nil"/>
          <w:between w:val="nil"/>
        </w:pBdr>
        <w:spacing w:line="252" w:lineRule="auto"/>
        <w:ind w:firstLine="144"/>
        <w:jc w:val="both"/>
        <w:rPr>
          <w:color w:val="000000"/>
        </w:rPr>
      </w:pPr>
      <w:r>
        <w:rPr>
          <w:color w:val="000000"/>
        </w:rP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59DA313D" w14:textId="4CFF9ABE" w:rsidR="00732E46" w:rsidRDefault="00DB3364" w:rsidP="00827FB8">
      <w:pPr>
        <w:pStyle w:val="1"/>
      </w:pPr>
      <w:r>
        <w:t xml:space="preserve">III. </w:t>
      </w:r>
      <w:r w:rsidR="000F2C11">
        <w:t>M</w:t>
      </w:r>
      <w:r w:rsidR="000F2C11">
        <w:rPr>
          <w:sz w:val="16"/>
          <w:szCs w:val="16"/>
        </w:rPr>
        <w:t>ATH</w:t>
      </w:r>
    </w:p>
    <w:p w14:paraId="229FC8D4" w14:textId="0A570A5A" w:rsidR="00732E46" w:rsidRDefault="006514FE" w:rsidP="0096199E">
      <w:pPr>
        <w:widowControl w:val="0"/>
        <w:pBdr>
          <w:top w:val="nil"/>
          <w:left w:val="nil"/>
          <w:bottom w:val="nil"/>
          <w:right w:val="nil"/>
          <w:between w:val="nil"/>
        </w:pBdr>
        <w:spacing w:line="252" w:lineRule="auto"/>
        <w:ind w:firstLine="202"/>
        <w:jc w:val="both"/>
        <w:rPr>
          <w:color w:val="000000"/>
        </w:rPr>
      </w:pPr>
      <w:r>
        <w:rPr>
          <w:color w:val="000000"/>
          <w:spacing w:val="-4"/>
        </w:rPr>
        <w:t>U</w:t>
      </w:r>
      <w:r w:rsidR="000F2C11" w:rsidRPr="00E57D3D">
        <w:rPr>
          <w:color w:val="000000"/>
          <w:spacing w:val="-4"/>
        </w:rPr>
        <w:t>se either the Microsoft Equation Editor</w:t>
      </w:r>
      <w:r w:rsidR="000F2C11" w:rsidRPr="00E57D3D">
        <w:rPr>
          <w:spacing w:val="-4"/>
        </w:rPr>
        <w:t xml:space="preserve"> </w:t>
      </w:r>
      <w:r w:rsidR="000F2C11" w:rsidRPr="00E57D3D">
        <w:rPr>
          <w:color w:val="000000"/>
          <w:spacing w:val="-4"/>
        </w:rPr>
        <w:t xml:space="preserve">or </w:t>
      </w:r>
      <w:r w:rsidR="00660F88">
        <w:rPr>
          <w:color w:val="000000"/>
          <w:spacing w:val="-4"/>
        </w:rPr>
        <w:t xml:space="preserve">the </w:t>
      </w:r>
      <w:proofErr w:type="spellStart"/>
      <w:r w:rsidR="00660F88">
        <w:rPr>
          <w:color w:val="000000"/>
          <w:spacing w:val="-4"/>
        </w:rPr>
        <w:t>MathType</w:t>
      </w:r>
      <w:proofErr w:type="spellEnd"/>
      <w:r w:rsidR="00660F88">
        <w:rPr>
          <w:color w:val="000000"/>
          <w:spacing w:val="-4"/>
        </w:rPr>
        <w:t xml:space="preserve"> plugin, </w:t>
      </w:r>
      <w:r>
        <w:rPr>
          <w:color w:val="000000"/>
          <w:spacing w:val="-4"/>
        </w:rPr>
        <w:t>which can be obtained</w:t>
      </w:r>
      <w:r w:rsidR="00660F88">
        <w:rPr>
          <w:color w:val="000000"/>
          <w:spacing w:val="-4"/>
        </w:rPr>
        <w:t xml:space="preserve"> from </w:t>
      </w:r>
      <w:hyperlink r:id="rId14">
        <w:r w:rsidR="000F2C11" w:rsidRPr="005E2D10">
          <w:rPr>
            <w:color w:val="4472C4" w:themeColor="accent5"/>
            <w:spacing w:val="-4"/>
            <w:u w:val="single"/>
          </w:rPr>
          <w:t>https://store.wiris.com/en/products/mathtype/download</w:t>
        </w:r>
      </w:hyperlink>
      <w:r w:rsidR="000F2C11">
        <w:rPr>
          <w:color w:val="000000"/>
        </w:rPr>
        <w:t xml:space="preserve">. </w:t>
      </w:r>
      <w:r w:rsidR="005E2D10">
        <w:rPr>
          <w:color w:val="000000"/>
        </w:rPr>
        <w:t>For help with formatting and placing equations, r</w:t>
      </w:r>
      <w:r w:rsidR="00114406">
        <w:rPr>
          <w:color w:val="000000"/>
        </w:rPr>
        <w:t xml:space="preserve">efer to </w:t>
      </w:r>
      <w:r w:rsidR="00114406" w:rsidRPr="005E2D10">
        <w:rPr>
          <w:color w:val="000000"/>
        </w:rPr>
        <w:t>the</w:t>
      </w:r>
      <w:r w:rsidR="00114406" w:rsidRPr="005E2D10">
        <w:rPr>
          <w:i/>
          <w:iCs/>
          <w:color w:val="000000"/>
        </w:rPr>
        <w:t xml:space="preserve"> IEEE Editing Math Guide</w:t>
      </w:r>
      <w:r w:rsidR="00114406">
        <w:rPr>
          <w:color w:val="000000"/>
        </w:rPr>
        <w:t xml:space="preserve"> at </w:t>
      </w:r>
      <w:hyperlink r:id="rId15" w:history="1">
        <w:r w:rsidR="00114406" w:rsidRPr="002B7422">
          <w:rPr>
            <w:rStyle w:val="aa"/>
          </w:rPr>
          <w:t>http://journals.ieeeauthorcenter.ieee.org/wp-content/uploads/sites/7/Editing-Mathematics.pdf</w:t>
        </w:r>
      </w:hyperlink>
      <w:r w:rsidR="00114406">
        <w:rPr>
          <w:color w:val="000000"/>
        </w:rPr>
        <w:t xml:space="preserve"> and </w:t>
      </w:r>
      <w:r w:rsidR="005E2D10">
        <w:rPr>
          <w:color w:val="000000"/>
        </w:rPr>
        <w:t xml:space="preserve">the </w:t>
      </w:r>
      <w:r w:rsidR="0096199E" w:rsidRPr="0096199E">
        <w:rPr>
          <w:i/>
          <w:iCs/>
          <w:color w:val="000000"/>
        </w:rPr>
        <w:t xml:space="preserve">IEEE </w:t>
      </w:r>
      <w:proofErr w:type="spellStart"/>
      <w:r w:rsidR="0096199E" w:rsidRPr="0096199E">
        <w:rPr>
          <w:i/>
          <w:iCs/>
          <w:color w:val="000000"/>
        </w:rPr>
        <w:t>MathType</w:t>
      </w:r>
      <w:proofErr w:type="spellEnd"/>
      <w:r w:rsidR="0096199E" w:rsidRPr="0096199E">
        <w:rPr>
          <w:i/>
          <w:iCs/>
          <w:color w:val="000000"/>
        </w:rPr>
        <w:t xml:space="preserve"> Tutorial</w:t>
      </w:r>
      <w:r w:rsidR="0096199E">
        <w:rPr>
          <w:i/>
          <w:iCs/>
          <w:color w:val="000000"/>
        </w:rPr>
        <w:t xml:space="preserve"> </w:t>
      </w:r>
      <w:r w:rsidR="0096199E" w:rsidRPr="0096199E">
        <w:rPr>
          <w:i/>
          <w:iCs/>
          <w:color w:val="000000"/>
        </w:rPr>
        <w:t>for Microsoft Word Users</w:t>
      </w:r>
      <w:r w:rsidR="005E2D10">
        <w:rPr>
          <w:color w:val="000000"/>
        </w:rPr>
        <w:t xml:space="preserve"> at</w:t>
      </w:r>
      <w:r w:rsidR="001743EC">
        <w:rPr>
          <w:color w:val="000000"/>
        </w:rPr>
        <w:t xml:space="preserve"> </w:t>
      </w:r>
      <w:hyperlink r:id="rId16" w:history="1">
        <w:r w:rsidR="001743EC" w:rsidRPr="00046ECC">
          <w:rPr>
            <w:rStyle w:val="aa"/>
          </w:rPr>
          <w:t>http://journals.ieeeauthorcenter.ieee.org/wp-content/uploads/sites/7/IEEE-Math-Typesetting-Guide-for-MS-Word-Users.pdf</w:t>
        </w:r>
      </w:hyperlink>
      <w:r>
        <w:rPr>
          <w:color w:val="000000"/>
        </w:rPr>
        <w:t>.</w:t>
      </w:r>
      <w:r w:rsidR="005E2D10">
        <w:rPr>
          <w:color w:val="000000"/>
        </w:rPr>
        <w:t xml:space="preserve"> </w:t>
      </w:r>
    </w:p>
    <w:p w14:paraId="2D2CC03A" w14:textId="77777777" w:rsidR="0096199E" w:rsidRDefault="0096199E" w:rsidP="0096199E">
      <w:pPr>
        <w:widowControl w:val="0"/>
        <w:pBdr>
          <w:top w:val="nil"/>
          <w:left w:val="nil"/>
          <w:bottom w:val="nil"/>
          <w:right w:val="nil"/>
          <w:between w:val="nil"/>
        </w:pBdr>
        <w:spacing w:line="252" w:lineRule="auto"/>
        <w:ind w:firstLine="202"/>
        <w:jc w:val="center"/>
      </w:pPr>
      <w:r>
        <w:t>TABLE I</w:t>
      </w:r>
    </w:p>
    <w:p w14:paraId="28D744EB" w14:textId="77777777" w:rsidR="0096199E" w:rsidRDefault="0096199E" w:rsidP="0096199E">
      <w:pPr>
        <w:widowControl w:val="0"/>
        <w:pBdr>
          <w:top w:val="nil"/>
          <w:left w:val="nil"/>
          <w:bottom w:val="nil"/>
          <w:right w:val="nil"/>
          <w:between w:val="nil"/>
        </w:pBdr>
        <w:spacing w:line="252" w:lineRule="auto"/>
        <w:ind w:firstLine="202"/>
        <w:jc w:val="center"/>
      </w:pPr>
      <w:r w:rsidRPr="00E57D3D">
        <w:rPr>
          <w:smallCaps/>
        </w:rPr>
        <w:t>This is a Sample of a Table Title</w:t>
      </w:r>
    </w:p>
    <w:p w14:paraId="657BA8A9" w14:textId="77777777" w:rsidR="0096199E" w:rsidRDefault="0096199E" w:rsidP="0096199E">
      <w:pPr>
        <w:widowControl w:val="0"/>
        <w:pBdr>
          <w:top w:val="nil"/>
          <w:left w:val="nil"/>
          <w:bottom w:val="nil"/>
          <w:right w:val="nil"/>
          <w:between w:val="nil"/>
        </w:pBdr>
        <w:spacing w:line="252" w:lineRule="auto"/>
        <w:ind w:firstLine="202"/>
        <w:jc w:val="center"/>
      </w:pPr>
    </w:p>
    <w:p w14:paraId="54024B90" w14:textId="77777777" w:rsidR="0096199E" w:rsidRDefault="0096199E" w:rsidP="0096199E">
      <w:pPr>
        <w:widowControl w:val="0"/>
        <w:pBdr>
          <w:top w:val="nil"/>
          <w:left w:val="nil"/>
          <w:bottom w:val="nil"/>
          <w:right w:val="nil"/>
          <w:between w:val="nil"/>
        </w:pBdr>
        <w:spacing w:line="252" w:lineRule="auto"/>
        <w:ind w:firstLine="202"/>
        <w:jc w:val="both"/>
        <w:rPr>
          <w:color w:val="000000"/>
        </w:rPr>
      </w:pPr>
      <w:r>
        <w:rPr>
          <w:noProof/>
        </w:rPr>
        <w:drawing>
          <wp:inline distT="114300" distB="114300" distL="114300" distR="114300" wp14:anchorId="3B188246" wp14:editId="364A7C84">
            <wp:extent cx="3051959" cy="938151"/>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067559" cy="942946"/>
                    </a:xfrm>
                    <a:prstGeom prst="rect">
                      <a:avLst/>
                    </a:prstGeom>
                    <a:ln/>
                  </pic:spPr>
                </pic:pic>
              </a:graphicData>
            </a:graphic>
          </wp:inline>
        </w:drawing>
      </w:r>
    </w:p>
    <w:p w14:paraId="7719A9ED" w14:textId="77777777" w:rsidR="0096199E" w:rsidRDefault="0096199E" w:rsidP="00A65256">
      <w:pPr>
        <w:widowControl w:val="0"/>
        <w:pBdr>
          <w:top w:val="nil"/>
          <w:left w:val="nil"/>
          <w:bottom w:val="nil"/>
          <w:right w:val="nil"/>
          <w:between w:val="nil"/>
        </w:pBdr>
        <w:spacing w:before="20" w:line="252" w:lineRule="auto"/>
        <w:ind w:firstLine="202"/>
        <w:jc w:val="both"/>
        <w:rPr>
          <w:color w:val="000000"/>
        </w:rPr>
      </w:pPr>
    </w:p>
    <w:p w14:paraId="66E8346C" w14:textId="4B3B7B66" w:rsidR="00732E46" w:rsidRDefault="00DB3364" w:rsidP="00DB3364">
      <w:pPr>
        <w:pStyle w:val="2"/>
        <w:numPr>
          <w:ilvl w:val="0"/>
          <w:numId w:val="0"/>
        </w:numPr>
      </w:pPr>
      <w:r>
        <w:t xml:space="preserve">A. </w:t>
      </w:r>
      <w:r w:rsidR="000F2C11">
        <w:t>Equations</w:t>
      </w:r>
    </w:p>
    <w:p w14:paraId="752FF10B" w14:textId="712765E8" w:rsidR="00732E46" w:rsidRDefault="000F2C11" w:rsidP="007B62A7">
      <w:pPr>
        <w:widowControl w:val="0"/>
        <w:pBdr>
          <w:top w:val="nil"/>
          <w:left w:val="nil"/>
          <w:bottom w:val="nil"/>
          <w:right w:val="nil"/>
          <w:between w:val="nil"/>
        </w:pBdr>
        <w:spacing w:line="252" w:lineRule="auto"/>
        <w:ind w:firstLine="202"/>
        <w:jc w:val="both"/>
      </w:pPr>
      <w:r w:rsidRPr="007B62A7">
        <w:rPr>
          <w:color w:val="000000"/>
        </w:rPr>
        <w:t>Number</w:t>
      </w:r>
      <w:r>
        <w:t xml:space="preserve"> equations consecutively with equation numbers in parentheses flush with the right margin of the column, as in (1). First use the equation editor to create the equation. Then </w:t>
      </w:r>
      <w:r w:rsidR="005E2D10">
        <w:t xml:space="preserve">select </w:t>
      </w:r>
      <w:r>
        <w:t xml:space="preserve">the “Equation” markup style. Press the tab key and write the equation </w:t>
      </w:r>
      <w:r w:rsidRPr="00A65256">
        <w:rPr>
          <w:color w:val="000000"/>
        </w:rPr>
        <w:t>number</w:t>
      </w:r>
      <w:r>
        <w:t xml:space="preserve"> in parentheses. To make your equations more compact, you may use the solidus </w:t>
      </w:r>
      <w:proofErr w:type="gramStart"/>
      <w:r>
        <w:t>( /</w:t>
      </w:r>
      <w:proofErr w:type="gramEnd"/>
      <w:r>
        <w:t xml:space="preserve"> ), the exp function, or appropriate exponents. Use parentheses to avoid ambiguities in denominators. Punctuate equations when they are part of a sentence, as in</w:t>
      </w:r>
    </w:p>
    <w:p w14:paraId="4B3F1CB8" w14:textId="77777777" w:rsidR="00732E46" w:rsidRDefault="000F2C11">
      <w:pPr>
        <w:widowControl w:val="0"/>
        <w:pBdr>
          <w:top w:val="nil"/>
          <w:left w:val="nil"/>
          <w:bottom w:val="nil"/>
          <w:right w:val="nil"/>
          <w:between w:val="nil"/>
        </w:pBdr>
        <w:tabs>
          <w:tab w:val="center" w:pos="2790"/>
          <w:tab w:val="right" w:pos="5040"/>
        </w:tabs>
        <w:spacing w:line="252" w:lineRule="auto"/>
        <w:jc w:val="center"/>
        <w:rPr>
          <w:color w:val="000000"/>
        </w:rPr>
      </w:pPr>
      <w:r>
        <w:rPr>
          <w:color w:val="000000"/>
        </w:rPr>
        <w:tab/>
      </w:r>
      <w:r>
        <w:rPr>
          <w:i/>
        </w:rPr>
        <w:t>B</w:t>
      </w:r>
      <w:r>
        <w:rPr>
          <w:i/>
          <w:vertAlign w:val="subscript"/>
        </w:rPr>
        <w:t xml:space="preserve">p </w:t>
      </w:r>
      <w:r>
        <w:t xml:space="preserve">+ </w:t>
      </w:r>
      <w:r>
        <w:rPr>
          <w:i/>
        </w:rPr>
        <w:t>H</w:t>
      </w:r>
      <w:r>
        <w:rPr>
          <w:vertAlign w:val="subscript"/>
        </w:rPr>
        <w:t>2</w:t>
      </w:r>
      <w:r>
        <w:t xml:space="preserve"> = 40.</w:t>
      </w:r>
      <w:r>
        <w:tab/>
      </w:r>
      <w:r>
        <w:rPr>
          <w:color w:val="000000"/>
        </w:rPr>
        <w:t>(1)</w:t>
      </w:r>
    </w:p>
    <w:p w14:paraId="394EE51F" w14:textId="77777777" w:rsidR="00A853F3" w:rsidRDefault="00A853F3" w:rsidP="00A65256">
      <w:pPr>
        <w:widowControl w:val="0"/>
        <w:pBdr>
          <w:top w:val="nil"/>
          <w:left w:val="nil"/>
          <w:bottom w:val="nil"/>
          <w:right w:val="nil"/>
          <w:between w:val="nil"/>
        </w:pBdr>
        <w:spacing w:before="20" w:line="252" w:lineRule="auto"/>
        <w:ind w:firstLine="202"/>
        <w:jc w:val="both"/>
        <w:rPr>
          <w:color w:val="000000"/>
        </w:rPr>
      </w:pPr>
    </w:p>
    <w:p w14:paraId="0ACC2F98" w14:textId="19C7688C" w:rsidR="00732E46" w:rsidRDefault="00E57D3D" w:rsidP="00A853F3">
      <w:pPr>
        <w:widowControl w:val="0"/>
        <w:pBdr>
          <w:top w:val="nil"/>
          <w:left w:val="nil"/>
          <w:bottom w:val="nil"/>
          <w:right w:val="nil"/>
          <w:between w:val="nil"/>
        </w:pBdr>
        <w:spacing w:line="252" w:lineRule="auto"/>
        <w:ind w:firstLine="202"/>
        <w:jc w:val="both"/>
        <w:rPr>
          <w:color w:val="000000"/>
        </w:rPr>
      </w:pPr>
      <w:r>
        <w:rPr>
          <w:color w:val="000000"/>
        </w:rPr>
        <w:t>Be sure that the symbols in your equation have been defined before the equation appears or immediately following. Italicize</w:t>
      </w:r>
      <w:r w:rsidR="00A853F3">
        <w:rPr>
          <w:color w:val="000000"/>
        </w:rPr>
        <w:t xml:space="preserve"> </w:t>
      </w:r>
      <w:r w:rsidR="000F2C11">
        <w:rPr>
          <w:color w:val="000000"/>
        </w:rPr>
        <w:t>symbols (</w:t>
      </w:r>
      <w:r w:rsidR="000F2C11">
        <w:rPr>
          <w:i/>
          <w:color w:val="000000"/>
        </w:rPr>
        <w:t>T</w:t>
      </w:r>
      <w:r w:rsidR="000F2C11">
        <w:rPr>
          <w:color w:val="000000"/>
        </w:rPr>
        <w:t xml:space="preserve"> might refer to temperature, but T is the unit tesla). </w:t>
      </w:r>
      <w:r w:rsidR="000F2C11">
        <w:t xml:space="preserve">When referring to an equation or formula, use simply </w:t>
      </w:r>
      <w:r w:rsidR="000F2C11">
        <w:rPr>
          <w:color w:val="000000"/>
        </w:rPr>
        <w:t xml:space="preserve">“(1),” not “Eq. (1)” or “equation (1),” except at the beginning of a sentence: “Equation (1) is </w:t>
      </w:r>
      <w:proofErr w:type="gramStart"/>
      <w:r w:rsidR="000F2C11">
        <w:rPr>
          <w:color w:val="000000"/>
        </w:rPr>
        <w:t>... .</w:t>
      </w:r>
      <w:proofErr w:type="gramEnd"/>
      <w:r w:rsidR="000F2C11">
        <w:rPr>
          <w:color w:val="000000"/>
        </w:rPr>
        <w:t>”</w:t>
      </w:r>
    </w:p>
    <w:p w14:paraId="233DFA19" w14:textId="77777777" w:rsidR="00031B79" w:rsidRDefault="00031B79" w:rsidP="00A65256">
      <w:pPr>
        <w:widowControl w:val="0"/>
        <w:pBdr>
          <w:top w:val="nil"/>
          <w:left w:val="nil"/>
          <w:bottom w:val="nil"/>
          <w:right w:val="nil"/>
          <w:between w:val="nil"/>
        </w:pBdr>
        <w:spacing w:before="20" w:line="252" w:lineRule="auto"/>
        <w:ind w:firstLine="202"/>
        <w:jc w:val="both"/>
        <w:rPr>
          <w:color w:val="000000"/>
        </w:rPr>
      </w:pPr>
    </w:p>
    <w:p w14:paraId="120293A3" w14:textId="6A5811A3" w:rsidR="002947C5" w:rsidRPr="00D050EC" w:rsidRDefault="002947C5" w:rsidP="00D050EC">
      <w:pPr>
        <w:pStyle w:val="2"/>
        <w:numPr>
          <w:ilvl w:val="0"/>
          <w:numId w:val="0"/>
        </w:numPr>
      </w:pPr>
      <w:r w:rsidRPr="00D050EC">
        <w:t>B. Algorithms</w:t>
      </w:r>
    </w:p>
    <w:p w14:paraId="4FA98CB4" w14:textId="19008C93" w:rsidR="002947C5" w:rsidRDefault="002947C5" w:rsidP="00D050EC">
      <w:pPr>
        <w:pStyle w:val="Text"/>
        <w:rPr>
          <w:color w:val="000000"/>
        </w:rPr>
      </w:pPr>
      <w:r>
        <w:t>Algorithms should be numbered and include a short title.</w:t>
      </w:r>
      <w:r w:rsidR="007A2DEB">
        <w:t xml:space="preserve"> </w:t>
      </w:r>
      <w:r>
        <w:t>They are set off from the text with rules above and below the</w:t>
      </w:r>
      <w:r w:rsidR="00B05CCE">
        <w:t xml:space="preserve"> </w:t>
      </w:r>
      <w:r>
        <w:t>title and after the last line.</w:t>
      </w:r>
    </w:p>
    <w:p w14:paraId="43B7010B" w14:textId="6C3D3145" w:rsidR="00621141" w:rsidRDefault="00621141" w:rsidP="00621141">
      <w:pPr>
        <w:pStyle w:val="PARAIndent"/>
        <w:spacing w:before="240"/>
        <w:rPr>
          <w:rFonts w:eastAsia="NimbusRomNo9L-Regu"/>
          <w:lang w:eastAsia="en-IN"/>
        </w:rPr>
      </w:pPr>
      <w:r>
        <w:rPr>
          <w:noProof/>
        </w:rPr>
        <w:lastRenderedPageBreak/>
        <w:drawing>
          <wp:inline distT="0" distB="0" distL="0" distR="0" wp14:anchorId="02982399" wp14:editId="5453CABA">
            <wp:extent cx="3063240" cy="1956714"/>
            <wp:effectExtent l="0" t="0" r="3810" b="5715"/>
            <wp:docPr id="13" name="Picture 13" descr="Z:\Indesign Projects\005 Series\03 OA Word templates\Work\TJ\Work\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Indesign Projects\005 Series\03 OA Word templates\Work\TJ\Work\Fig3.tif"/>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63240" cy="1956714"/>
                    </a:xfrm>
                    <a:prstGeom prst="rect">
                      <a:avLst/>
                    </a:prstGeom>
                    <a:noFill/>
                    <a:ln>
                      <a:noFill/>
                    </a:ln>
                  </pic:spPr>
                </pic:pic>
              </a:graphicData>
            </a:graphic>
          </wp:inline>
        </w:drawing>
      </w:r>
    </w:p>
    <w:p w14:paraId="4F1C26D4" w14:textId="6629763D" w:rsidR="00732E46" w:rsidRPr="00621141" w:rsidRDefault="00DB3364" w:rsidP="00827FB8">
      <w:pPr>
        <w:pStyle w:val="1"/>
      </w:pPr>
      <w:r w:rsidRPr="00621141">
        <w:t xml:space="preserve">IV. </w:t>
      </w:r>
      <w:r w:rsidR="000F2C11" w:rsidRPr="00621141">
        <w:t xml:space="preserve">Guidelines for Graphics Preparation </w:t>
      </w:r>
      <w:r w:rsidR="000F2C11" w:rsidRPr="00621141">
        <w:br/>
        <w:t>and Submission</w:t>
      </w:r>
    </w:p>
    <w:p w14:paraId="060A7626" w14:textId="029EA85A" w:rsidR="00732E46" w:rsidRDefault="00DB3364" w:rsidP="007E5119">
      <w:pPr>
        <w:pStyle w:val="2"/>
        <w:numPr>
          <w:ilvl w:val="0"/>
          <w:numId w:val="0"/>
        </w:numPr>
        <w:spacing w:before="240"/>
      </w:pPr>
      <w:r>
        <w:t xml:space="preserve">A. </w:t>
      </w:r>
      <w:r w:rsidR="000F2C11">
        <w:t>Types of Graphics</w:t>
      </w:r>
    </w:p>
    <w:p w14:paraId="5A634F31" w14:textId="77777777" w:rsidR="00732E46" w:rsidRDefault="000F2C11">
      <w:pPr>
        <w:ind w:firstLine="144"/>
        <w:jc w:val="both"/>
      </w:pPr>
      <w:r>
        <w:t>The following list outlines the different types of graphics published in IEEE journals. They are categorized based on their construction, and use of color / shades of gray:</w:t>
      </w:r>
    </w:p>
    <w:p w14:paraId="076B9C40" w14:textId="3AD2E23E" w:rsidR="00732E46" w:rsidRPr="00DB3364" w:rsidRDefault="000F2C11" w:rsidP="00DB3364">
      <w:pPr>
        <w:pStyle w:val="af7"/>
        <w:numPr>
          <w:ilvl w:val="1"/>
          <w:numId w:val="10"/>
        </w:numPr>
        <w:rPr>
          <w:rFonts w:ascii="Times" w:eastAsia="Times" w:hAnsi="Times" w:cs="Times"/>
          <w:color w:val="000000"/>
        </w:rPr>
      </w:pPr>
      <w:r w:rsidRPr="00DB3364">
        <w:rPr>
          <w:b/>
        </w:rPr>
        <w:t>Color/Grayscale Figures</w:t>
      </w:r>
      <w:r w:rsidR="00DB3364">
        <w:br/>
      </w:r>
      <w:proofErr w:type="spellStart"/>
      <w:r w:rsidRPr="00DB3364">
        <w:rPr>
          <w:rFonts w:ascii="Times" w:eastAsia="Times" w:hAnsi="Times" w:cs="Times"/>
          <w:color w:val="000000"/>
        </w:rPr>
        <w:t>Figures</w:t>
      </w:r>
      <w:proofErr w:type="spellEnd"/>
      <w:r w:rsidRPr="00DB3364">
        <w:rPr>
          <w:rFonts w:ascii="Times" w:eastAsia="Times" w:hAnsi="Times" w:cs="Times"/>
          <w:color w:val="000000"/>
        </w:rPr>
        <w:t xml:space="preserve"> that are meant to appear in color, or shades of black/gray. Such figures may include photographs, </w:t>
      </w:r>
      <w:r w:rsidRPr="00DB3364">
        <w:rPr>
          <w:rFonts w:ascii="Times" w:eastAsia="Times" w:hAnsi="Times" w:cs="Times"/>
          <w:color w:val="000000"/>
        </w:rPr>
        <w:br/>
        <w:t>illustrations, multicolor graphs, and flowcharts.</w:t>
      </w:r>
    </w:p>
    <w:p w14:paraId="6B1DACC8" w14:textId="605B3405" w:rsidR="00732E46" w:rsidRPr="00DB3364" w:rsidRDefault="000F2C11" w:rsidP="00DB3364">
      <w:pPr>
        <w:pStyle w:val="af7"/>
        <w:numPr>
          <w:ilvl w:val="1"/>
          <w:numId w:val="10"/>
        </w:numPr>
        <w:rPr>
          <w:rFonts w:ascii="Times" w:eastAsia="Times" w:hAnsi="Times" w:cs="Times"/>
          <w:color w:val="000000"/>
        </w:rPr>
      </w:pPr>
      <w:r w:rsidRPr="00DB3364">
        <w:rPr>
          <w:b/>
        </w:rPr>
        <w:t>Line Art Figures</w:t>
      </w:r>
      <w:r w:rsidR="00DB3364">
        <w:rPr>
          <w:rFonts w:ascii="Times" w:eastAsia="Times" w:hAnsi="Times" w:cs="Times"/>
          <w:color w:val="000000"/>
        </w:rPr>
        <w:br/>
      </w:r>
      <w:r w:rsidRPr="00DB3364">
        <w:rPr>
          <w:rFonts w:ascii="Times" w:eastAsia="Times" w:hAnsi="Times" w:cs="Times"/>
          <w:color w:val="000000"/>
        </w:rPr>
        <w:t>Figures that are composed of only black lines and shapes. These figures should have no shades or half-tones of gray, only black and white.</w:t>
      </w:r>
    </w:p>
    <w:p w14:paraId="6C7A72D5" w14:textId="2581B780" w:rsidR="00732E46" w:rsidRPr="001F512A" w:rsidRDefault="000F2C11" w:rsidP="00DB3364">
      <w:pPr>
        <w:pStyle w:val="af7"/>
        <w:numPr>
          <w:ilvl w:val="1"/>
          <w:numId w:val="10"/>
        </w:numPr>
        <w:rPr>
          <w:rFonts w:ascii="Times" w:eastAsia="Times" w:hAnsi="Times" w:cs="Times"/>
          <w:i/>
          <w:color w:val="000000"/>
        </w:rPr>
      </w:pPr>
      <w:r w:rsidRPr="00DB3364">
        <w:rPr>
          <w:b/>
        </w:rPr>
        <w:t>Tables</w:t>
      </w:r>
      <w:r>
        <w:rPr>
          <w:rFonts w:ascii="Times" w:eastAsia="Times" w:hAnsi="Times" w:cs="Times"/>
          <w:color w:val="000000"/>
        </w:rPr>
        <w:br/>
        <w:t>Data charts which are typically black and white, but sometimes include color.</w:t>
      </w:r>
    </w:p>
    <w:p w14:paraId="7C6970AE" w14:textId="77777777" w:rsidR="001F512A" w:rsidRDefault="001F512A" w:rsidP="001F512A">
      <w:pPr>
        <w:pStyle w:val="af7"/>
        <w:ind w:left="450"/>
        <w:rPr>
          <w:rFonts w:ascii="Times" w:eastAsia="Times" w:hAnsi="Times" w:cs="Times"/>
          <w:i/>
          <w:color w:val="000000"/>
        </w:rPr>
      </w:pPr>
    </w:p>
    <w:p w14:paraId="30945116" w14:textId="5B220BB5" w:rsidR="00732E46" w:rsidRPr="00DB3364" w:rsidRDefault="00DB3364" w:rsidP="00DB3364">
      <w:pPr>
        <w:pStyle w:val="2"/>
        <w:numPr>
          <w:ilvl w:val="0"/>
          <w:numId w:val="0"/>
        </w:numPr>
        <w:jc w:val="both"/>
        <w:rPr>
          <w:rFonts w:eastAsia="Cambria"/>
          <w:color w:val="000000"/>
        </w:rPr>
      </w:pPr>
      <w:r w:rsidRPr="00DB3364">
        <w:rPr>
          <w:rFonts w:eastAsia="Cambria"/>
          <w:color w:val="000000"/>
        </w:rPr>
        <w:t xml:space="preserve">B. </w:t>
      </w:r>
      <w:r w:rsidR="000F2C11" w:rsidRPr="00DB3364">
        <w:rPr>
          <w:rFonts w:eastAsia="Cambria"/>
          <w:color w:val="000000"/>
        </w:rPr>
        <w:t xml:space="preserve">Multipart </w:t>
      </w:r>
      <w:r w:rsidR="000F2C11" w:rsidRPr="00DB3364">
        <w:rPr>
          <w:rFonts w:eastAsia="Cambria"/>
        </w:rPr>
        <w:t>F</w:t>
      </w:r>
      <w:r w:rsidR="000F2C11" w:rsidRPr="00DB3364">
        <w:rPr>
          <w:rFonts w:eastAsia="Cambria"/>
          <w:color w:val="000000"/>
        </w:rPr>
        <w:t>igures</w:t>
      </w:r>
    </w:p>
    <w:p w14:paraId="44F78EA3" w14:textId="23209744" w:rsidR="00732E46" w:rsidRPr="00D050EC" w:rsidRDefault="005E2D10">
      <w:pPr>
        <w:ind w:firstLine="144"/>
        <w:jc w:val="both"/>
        <w:rPr>
          <w:rFonts w:ascii="Times" w:eastAsia="Times" w:hAnsi="Times" w:cs="Times"/>
          <w:color w:val="000000"/>
          <w:spacing w:val="-3"/>
        </w:rPr>
      </w:pPr>
      <w:r w:rsidRPr="00D050EC">
        <w:rPr>
          <w:rFonts w:ascii="Times" w:eastAsia="Times" w:hAnsi="Times" w:cs="Times"/>
          <w:color w:val="000000"/>
          <w:spacing w:val="-3"/>
        </w:rPr>
        <w:t>These are f</w:t>
      </w:r>
      <w:r w:rsidR="000F2C11" w:rsidRPr="00D050EC">
        <w:rPr>
          <w:rFonts w:ascii="Times" w:eastAsia="Times" w:hAnsi="Times" w:cs="Times"/>
          <w:color w:val="000000"/>
          <w:spacing w:val="-3"/>
        </w:rPr>
        <w:t>igures compiled of more than one sub-figure presented side-by-side or stacked. If a multipart figure is made up of multiple figure types (one part is line</w:t>
      </w:r>
      <w:r w:rsidR="001E7EDB" w:rsidRPr="00D050EC">
        <w:rPr>
          <w:rFonts w:ascii="Times" w:eastAsia="Times" w:hAnsi="Times" w:cs="Times"/>
          <w:color w:val="000000"/>
          <w:spacing w:val="-3"/>
        </w:rPr>
        <w:t xml:space="preserve"> </w:t>
      </w:r>
      <w:r w:rsidR="000F2C11" w:rsidRPr="00D050EC">
        <w:rPr>
          <w:rFonts w:ascii="Times" w:eastAsia="Times" w:hAnsi="Times" w:cs="Times"/>
          <w:color w:val="000000"/>
          <w:spacing w:val="-3"/>
        </w:rPr>
        <w:t>art, and another is grayscale or color), the figure should meet the stricter guidelines.</w:t>
      </w:r>
    </w:p>
    <w:p w14:paraId="4D21B673" w14:textId="77777777" w:rsidR="00031B79" w:rsidRDefault="00031B79" w:rsidP="00D050EC">
      <w:pPr>
        <w:rPr>
          <w:rFonts w:eastAsia="Times"/>
        </w:rPr>
      </w:pPr>
    </w:p>
    <w:p w14:paraId="6827CE4A" w14:textId="17DB14C9" w:rsidR="00732E46" w:rsidRDefault="00DB3364" w:rsidP="00DB3364">
      <w:pPr>
        <w:pStyle w:val="2"/>
        <w:numPr>
          <w:ilvl w:val="0"/>
          <w:numId w:val="0"/>
        </w:numPr>
        <w:jc w:val="both"/>
      </w:pPr>
      <w:r>
        <w:t xml:space="preserve">C. </w:t>
      </w:r>
      <w:r w:rsidR="000F2C11">
        <w:t>File Formats for Graphics</w:t>
      </w:r>
    </w:p>
    <w:p w14:paraId="5A21ED3C" w14:textId="7414B27A" w:rsidR="00732E46" w:rsidRPr="00D050EC" w:rsidRDefault="000F2C11">
      <w:pPr>
        <w:ind w:firstLine="144"/>
        <w:jc w:val="both"/>
        <w:rPr>
          <w:spacing w:val="-3"/>
        </w:rPr>
      </w:pPr>
      <w:r w:rsidRPr="00D050EC">
        <w:rPr>
          <w:spacing w:val="-3"/>
        </w:rPr>
        <w:t>Format and save your graphics using a suitable graphics processing program that will allow you to create the images as PostScript (PS), Encapsulated PostScript (.EPS), Tagged Image File Format (.TIFF), Portable Document Format (.PDF), JPEG, or Portable Network Graphics (.PNG)</w:t>
      </w:r>
      <w:r w:rsidR="00DB3364" w:rsidRPr="00D050EC">
        <w:rPr>
          <w:spacing w:val="-3"/>
        </w:rPr>
        <w:t>. These programs can</w:t>
      </w:r>
      <w:r w:rsidRPr="00D050EC">
        <w:rPr>
          <w:spacing w:val="-3"/>
        </w:rPr>
        <w:t xml:space="preserve"> </w:t>
      </w:r>
      <w:r w:rsidR="00DB3364" w:rsidRPr="00D050EC">
        <w:rPr>
          <w:spacing w:val="-3"/>
        </w:rPr>
        <w:t>re-</w:t>
      </w:r>
      <w:r w:rsidRPr="00D050EC">
        <w:rPr>
          <w:spacing w:val="-3"/>
        </w:rPr>
        <w:t>size them and adjust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files, your graphics should all be submitted individually in one of these formats along with the manuscript.</w:t>
      </w:r>
    </w:p>
    <w:p w14:paraId="590FE87B" w14:textId="77777777" w:rsidR="001F512A" w:rsidRDefault="001F512A">
      <w:pPr>
        <w:ind w:firstLine="144"/>
        <w:jc w:val="both"/>
      </w:pPr>
    </w:p>
    <w:p w14:paraId="6296F667" w14:textId="41396871" w:rsidR="00732E46" w:rsidRDefault="00DB3364" w:rsidP="00DB3364">
      <w:pPr>
        <w:pStyle w:val="2"/>
        <w:numPr>
          <w:ilvl w:val="0"/>
          <w:numId w:val="0"/>
        </w:numPr>
        <w:jc w:val="both"/>
      </w:pPr>
      <w:r>
        <w:t xml:space="preserve">D. </w:t>
      </w:r>
      <w:r w:rsidR="000F2C11">
        <w:t>Sizing of Graphics</w:t>
      </w:r>
    </w:p>
    <w:p w14:paraId="5477C4ED"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Most charts, graphs, and tables are one column wide (3.5 inches / 88 </w:t>
      </w:r>
      <w:r>
        <w:rPr>
          <w:rFonts w:ascii="Times" w:eastAsia="Times" w:hAnsi="Times" w:cs="Times"/>
        </w:rPr>
        <w:t>mm</w:t>
      </w:r>
      <w:r>
        <w:rPr>
          <w:rFonts w:ascii="Times" w:eastAsia="Times" w:hAnsi="Times" w:cs="Times"/>
          <w:color w:val="000000"/>
        </w:rPr>
        <w:t xml:space="preserve">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w:t>
      </w:r>
      <w:r>
        <w:rPr>
          <w:rFonts w:ascii="Times" w:eastAsia="Times" w:hAnsi="Times" w:cs="Times"/>
        </w:rPr>
        <w:t>not be</w:t>
      </w:r>
      <w:r>
        <w:rPr>
          <w:rFonts w:ascii="Times" w:eastAsia="Times" w:hAnsi="Times" w:cs="Times"/>
          <w:color w:val="000000"/>
        </w:rPr>
        <w:t xml:space="preserve"> sized less than column width unless when necessary. </w:t>
      </w:r>
    </w:p>
    <w:p w14:paraId="11CAAD70" w14:textId="5256A1C1" w:rsidR="00732E46" w:rsidRDefault="000F2C11">
      <w:pPr>
        <w:ind w:firstLine="144"/>
        <w:jc w:val="both"/>
        <w:rPr>
          <w:rFonts w:ascii="Times" w:eastAsia="Times" w:hAnsi="Times" w:cs="Times"/>
          <w:color w:val="000000"/>
        </w:rPr>
      </w:pPr>
      <w:r>
        <w:rPr>
          <w:rFonts w:ascii="Times" w:eastAsia="Times" w:hAnsi="Times" w:cs="Times"/>
          <w:color w:val="000000"/>
        </w:rPr>
        <w:t xml:space="preserve">The final printed size of author photographs is exactly </w:t>
      </w:r>
      <w:r>
        <w:rPr>
          <w:rFonts w:ascii="Times" w:eastAsia="Times" w:hAnsi="Times" w:cs="Times"/>
          <w:color w:val="000000"/>
        </w:rPr>
        <w:br/>
        <w:t xml:space="preserve">1 </w:t>
      </w:r>
      <w:r>
        <w:rPr>
          <w:rFonts w:ascii="Times" w:eastAsia="Times" w:hAnsi="Times" w:cs="Times"/>
        </w:rPr>
        <w:t xml:space="preserve">in </w:t>
      </w:r>
      <w:r>
        <w:rPr>
          <w:rFonts w:ascii="Times" w:eastAsia="Times" w:hAnsi="Times" w:cs="Times"/>
          <w:color w:val="000000"/>
        </w:rPr>
        <w:t xml:space="preserve">wide by 1.25 </w:t>
      </w:r>
      <w:r>
        <w:rPr>
          <w:rFonts w:ascii="Times" w:eastAsia="Times" w:hAnsi="Times" w:cs="Times"/>
        </w:rPr>
        <w:t xml:space="preserve">in </w:t>
      </w:r>
      <w:r>
        <w:rPr>
          <w:rFonts w:ascii="Times" w:eastAsia="Times" w:hAnsi="Times" w:cs="Times"/>
          <w:color w:val="000000"/>
        </w:rPr>
        <w:t xml:space="preserve">tall (25.4 </w:t>
      </w:r>
      <w:r>
        <w:rPr>
          <w:rFonts w:ascii="Times" w:eastAsia="Times" w:hAnsi="Times" w:cs="Times"/>
        </w:rPr>
        <w:t xml:space="preserve">mm </w:t>
      </w:r>
      <w:r>
        <w:rPr>
          <w:rFonts w:ascii="Times" w:eastAsia="Times" w:hAnsi="Times" w:cs="Times"/>
          <w:color w:val="000000"/>
        </w:rPr>
        <w:t xml:space="preserve">x 31.75 </w:t>
      </w:r>
      <w:r>
        <w:rPr>
          <w:rFonts w:ascii="Times" w:eastAsia="Times" w:hAnsi="Times" w:cs="Times"/>
        </w:rPr>
        <w:t xml:space="preserve">mm </w:t>
      </w:r>
      <w:r>
        <w:rPr>
          <w:rFonts w:ascii="Times" w:eastAsia="Times" w:hAnsi="Times" w:cs="Times"/>
          <w:color w:val="000000"/>
        </w:rPr>
        <w:t xml:space="preserve">/ 6 picas x 7.5 picas). Author photos printed in editorials measure 1.59 </w:t>
      </w:r>
      <w:r>
        <w:rPr>
          <w:rFonts w:ascii="Times" w:eastAsia="Times" w:hAnsi="Times" w:cs="Times"/>
        </w:rPr>
        <w:t xml:space="preserve">in </w:t>
      </w:r>
      <w:r>
        <w:rPr>
          <w:rFonts w:ascii="Times" w:eastAsia="Times" w:hAnsi="Times" w:cs="Times"/>
          <w:color w:val="000000"/>
        </w:rPr>
        <w:t xml:space="preserve">wide by 2 </w:t>
      </w:r>
      <w:r>
        <w:rPr>
          <w:rFonts w:ascii="Times" w:eastAsia="Times" w:hAnsi="Times" w:cs="Times"/>
        </w:rPr>
        <w:t xml:space="preserve">in </w:t>
      </w:r>
      <w:r>
        <w:rPr>
          <w:rFonts w:ascii="Times" w:eastAsia="Times" w:hAnsi="Times" w:cs="Times"/>
          <w:color w:val="000000"/>
        </w:rPr>
        <w:t xml:space="preserve">tall (40 </w:t>
      </w:r>
      <w:r>
        <w:rPr>
          <w:rFonts w:ascii="Times" w:eastAsia="Times" w:hAnsi="Times" w:cs="Times"/>
        </w:rPr>
        <w:t>mm</w:t>
      </w:r>
      <w:r>
        <w:rPr>
          <w:rFonts w:ascii="Times" w:eastAsia="Times" w:hAnsi="Times" w:cs="Times"/>
          <w:color w:val="000000"/>
        </w:rPr>
        <w:t xml:space="preserve"> x 50 </w:t>
      </w:r>
      <w:r>
        <w:rPr>
          <w:rFonts w:ascii="Times" w:eastAsia="Times" w:hAnsi="Times" w:cs="Times"/>
        </w:rPr>
        <w:t>mm</w:t>
      </w:r>
      <w:r>
        <w:rPr>
          <w:rFonts w:ascii="Times" w:eastAsia="Times" w:hAnsi="Times" w:cs="Times"/>
          <w:color w:val="000000"/>
        </w:rPr>
        <w:t xml:space="preserve"> / 9.5 picas x 12 picas).</w:t>
      </w:r>
    </w:p>
    <w:p w14:paraId="6088589B" w14:textId="77777777" w:rsidR="001F512A" w:rsidRDefault="001F512A" w:rsidP="00A65256">
      <w:pPr>
        <w:spacing w:before="20"/>
        <w:ind w:firstLine="144"/>
        <w:jc w:val="both"/>
        <w:rPr>
          <w:rFonts w:ascii="Times" w:eastAsia="Times" w:hAnsi="Times" w:cs="Times"/>
          <w:color w:val="000000"/>
        </w:rPr>
      </w:pPr>
    </w:p>
    <w:p w14:paraId="276C6666" w14:textId="1BA9AADD" w:rsidR="00732E46" w:rsidRDefault="00DB3364" w:rsidP="00DB3364">
      <w:pPr>
        <w:pStyle w:val="2"/>
        <w:numPr>
          <w:ilvl w:val="0"/>
          <w:numId w:val="0"/>
        </w:numPr>
        <w:jc w:val="both"/>
        <w:rPr>
          <w:rFonts w:ascii="Times" w:eastAsia="Times" w:hAnsi="Times" w:cs="Times"/>
          <w:smallCaps/>
          <w:color w:val="000000"/>
        </w:rPr>
      </w:pPr>
      <w:r>
        <w:t xml:space="preserve">E. </w:t>
      </w:r>
      <w:r w:rsidR="000F2C11">
        <w:t>Resolution</w:t>
      </w:r>
      <w:r w:rsidR="000F2C11">
        <w:rPr>
          <w:rFonts w:ascii="Times" w:eastAsia="Times" w:hAnsi="Times" w:cs="Times"/>
          <w:color w:val="000000"/>
        </w:rPr>
        <w:t xml:space="preserve"> </w:t>
      </w:r>
    </w:p>
    <w:p w14:paraId="04A12030" w14:textId="7DF988B9" w:rsidR="00732E46" w:rsidRDefault="000F2C11">
      <w:pPr>
        <w:ind w:firstLine="144"/>
        <w:jc w:val="both"/>
        <w:rPr>
          <w:rFonts w:ascii="Times" w:eastAsia="Times" w:hAnsi="Times" w:cs="Times"/>
          <w:color w:val="000000"/>
        </w:rPr>
      </w:pPr>
      <w:r>
        <w:rPr>
          <w:rFonts w:ascii="Times" w:eastAsia="Times" w:hAnsi="Times" w:cs="Times"/>
          <w:color w:val="000000"/>
        </w:rPr>
        <w:t>The proper resolution of your figures will depend on the type of figure it is as defined in the “Types of Figures” section. Author photographs, color, and grayscale figures should be at least 300dpi. Line art, including tables should be a minimum of 600dpi.</w:t>
      </w:r>
    </w:p>
    <w:p w14:paraId="345C8FB4" w14:textId="53E98DC7" w:rsidR="00732E46" w:rsidRPr="00EF6430" w:rsidRDefault="00DB3364" w:rsidP="00DB3364">
      <w:pPr>
        <w:pStyle w:val="2"/>
        <w:numPr>
          <w:ilvl w:val="0"/>
          <w:numId w:val="0"/>
        </w:numPr>
        <w:jc w:val="both"/>
        <w:rPr>
          <w:rFonts w:eastAsia="Cambria"/>
          <w:smallCaps/>
          <w:color w:val="000000"/>
        </w:rPr>
      </w:pPr>
      <w:r w:rsidRPr="00EF6430">
        <w:rPr>
          <w:rFonts w:eastAsia="Cambria"/>
          <w:color w:val="000000"/>
        </w:rPr>
        <w:t xml:space="preserve">F. </w:t>
      </w:r>
      <w:r w:rsidR="000F2C11" w:rsidRPr="00EF6430">
        <w:rPr>
          <w:rFonts w:eastAsia="Cambria"/>
          <w:color w:val="000000"/>
        </w:rPr>
        <w:t>Vector Art</w:t>
      </w:r>
    </w:p>
    <w:p w14:paraId="5E01C40E" w14:textId="77777777" w:rsidR="00732E46" w:rsidRDefault="000F2C11">
      <w:pPr>
        <w:ind w:firstLine="144"/>
        <w:jc w:val="both"/>
        <w:rPr>
          <w:rFonts w:ascii="Times" w:eastAsia="Times" w:hAnsi="Times" w:cs="Times"/>
          <w:color w:val="000000"/>
        </w:rPr>
      </w:pPr>
      <w:r>
        <w:rPr>
          <w:rFonts w:ascii="Times" w:eastAsia="Times" w:hAnsi="Times" w:cs="Times"/>
          <w:color w:val="000000"/>
        </w:rPr>
        <w:t>In order to preserve the figures’ integrity across multiple computer platforms, we accept files in the following formats: .EPS/.PDF/.PS. All fonts must be embedded or text converted to outlines in order to achieve the best-quality results.</w:t>
      </w:r>
    </w:p>
    <w:p w14:paraId="04CB3ADC" w14:textId="77777777" w:rsidR="00732E46" w:rsidRDefault="00732E46" w:rsidP="00A65256">
      <w:pPr>
        <w:spacing w:before="20"/>
        <w:ind w:firstLine="144"/>
        <w:jc w:val="both"/>
      </w:pPr>
    </w:p>
    <w:p w14:paraId="039DC15F" w14:textId="58038E84" w:rsidR="00732E46" w:rsidRPr="00EF6430" w:rsidRDefault="00DB3364" w:rsidP="00DB3364">
      <w:pPr>
        <w:pStyle w:val="2"/>
        <w:numPr>
          <w:ilvl w:val="0"/>
          <w:numId w:val="0"/>
        </w:numPr>
        <w:jc w:val="both"/>
        <w:rPr>
          <w:rFonts w:eastAsia="Cambria"/>
          <w:smallCaps/>
          <w:color w:val="000000"/>
        </w:rPr>
      </w:pPr>
      <w:r w:rsidRPr="00EF6430">
        <w:rPr>
          <w:rFonts w:eastAsia="Cambria"/>
          <w:color w:val="000000"/>
        </w:rPr>
        <w:t xml:space="preserve">G. </w:t>
      </w:r>
      <w:r w:rsidR="000F2C11" w:rsidRPr="00EF6430">
        <w:rPr>
          <w:rFonts w:eastAsia="Cambria"/>
          <w:color w:val="000000"/>
        </w:rPr>
        <w:t>Color Space</w:t>
      </w:r>
    </w:p>
    <w:p w14:paraId="56101CDF"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The term </w:t>
      </w:r>
      <w:r>
        <w:rPr>
          <w:rFonts w:ascii="Times" w:eastAsia="Times" w:hAnsi="Times" w:cs="Times"/>
        </w:rPr>
        <w:t>“</w:t>
      </w:r>
      <w:r>
        <w:rPr>
          <w:rFonts w:ascii="Times" w:eastAsia="Times" w:hAnsi="Times" w:cs="Times"/>
          <w:color w:val="000000"/>
        </w:rPr>
        <w:t>color space</w:t>
      </w:r>
      <w:r>
        <w:rPr>
          <w:rFonts w:ascii="Times" w:eastAsia="Times" w:hAnsi="Times" w:cs="Times"/>
        </w:rPr>
        <w:t xml:space="preserve">” </w:t>
      </w:r>
      <w:r>
        <w:rPr>
          <w:rFonts w:ascii="Times" w:eastAsia="Times" w:hAnsi="Times" w:cs="Times"/>
          <w:color w:val="000000"/>
        </w:rPr>
        <w:t xml:space="preserve">refers to the entire sum of colors that can be represented within the said medium. For our purposes, the three main color spaces are </w:t>
      </w:r>
      <w:r>
        <w:rPr>
          <w:rFonts w:ascii="Times" w:eastAsia="Times" w:hAnsi="Times" w:cs="Times"/>
        </w:rPr>
        <w:t>g</w:t>
      </w:r>
      <w:r>
        <w:rPr>
          <w:rFonts w:ascii="Times" w:eastAsia="Times" w:hAnsi="Times" w:cs="Times"/>
          <w:color w:val="000000"/>
        </w:rPr>
        <w:t>rayscale, RGB (red/green/blue), and CMYK (cyan/magenta/yellow/black). RGB is generally used with on-screen graphics, whereas CMYK is used for printing purposes.</w:t>
      </w:r>
    </w:p>
    <w:p w14:paraId="43307C2A" w14:textId="1FC57E7A" w:rsidR="00732E46" w:rsidRPr="00D050EC" w:rsidRDefault="000F2C11">
      <w:pPr>
        <w:ind w:firstLine="144"/>
        <w:jc w:val="both"/>
        <w:rPr>
          <w:rFonts w:ascii="Times" w:eastAsia="Times" w:hAnsi="Times" w:cs="Times"/>
          <w:color w:val="000000"/>
          <w:spacing w:val="-2"/>
        </w:rPr>
      </w:pPr>
      <w:r w:rsidRPr="00D050EC">
        <w:rPr>
          <w:rFonts w:ascii="Times" w:eastAsia="Times" w:hAnsi="Times" w:cs="Times"/>
          <w:color w:val="000000"/>
          <w:spacing w:val="-2"/>
        </w:rPr>
        <w:t xml:space="preserve">All color figures should be generated in RGB or CMYK color space. Grayscale images should be submitted in </w:t>
      </w:r>
      <w:r w:rsidRPr="00D050EC">
        <w:rPr>
          <w:rFonts w:ascii="Times" w:eastAsia="Times" w:hAnsi="Times" w:cs="Times"/>
          <w:spacing w:val="-2"/>
        </w:rPr>
        <w:t>g</w:t>
      </w:r>
      <w:r w:rsidRPr="00D050EC">
        <w:rPr>
          <w:rFonts w:ascii="Times" w:eastAsia="Times" w:hAnsi="Times" w:cs="Times"/>
          <w:color w:val="000000"/>
          <w:spacing w:val="-2"/>
        </w:rPr>
        <w:t xml:space="preserve">rayscale color space. Line art may be provided in grayscale OR bitmap </w:t>
      </w:r>
      <w:proofErr w:type="spellStart"/>
      <w:r w:rsidRPr="00D050EC">
        <w:rPr>
          <w:rFonts w:ascii="Times" w:eastAsia="Times" w:hAnsi="Times" w:cs="Times"/>
          <w:color w:val="000000"/>
          <w:spacing w:val="-2"/>
        </w:rPr>
        <w:t>colorspace</w:t>
      </w:r>
      <w:proofErr w:type="spellEnd"/>
      <w:r w:rsidRPr="00D050EC">
        <w:rPr>
          <w:rFonts w:ascii="Times" w:eastAsia="Times" w:hAnsi="Times" w:cs="Times"/>
          <w:color w:val="000000"/>
          <w:spacing w:val="-2"/>
        </w:rPr>
        <w:t xml:space="preserve">. Note that “bitmap </w:t>
      </w:r>
      <w:proofErr w:type="spellStart"/>
      <w:r w:rsidRPr="00D050EC">
        <w:rPr>
          <w:rFonts w:ascii="Times" w:eastAsia="Times" w:hAnsi="Times" w:cs="Times"/>
          <w:color w:val="000000"/>
          <w:spacing w:val="-2"/>
        </w:rPr>
        <w:t>colorspace</w:t>
      </w:r>
      <w:proofErr w:type="spellEnd"/>
      <w:r w:rsidRPr="00D050EC">
        <w:rPr>
          <w:rFonts w:ascii="Times" w:eastAsia="Times" w:hAnsi="Times" w:cs="Times"/>
          <w:color w:val="000000"/>
          <w:spacing w:val="-2"/>
        </w:rPr>
        <w:t>” and “bitmap file format” are not the same thing. When bitmap color space is selected, .TIF/.TIFF/.PNG are the recommended file formats.</w:t>
      </w:r>
    </w:p>
    <w:p w14:paraId="7691E2B0" w14:textId="77777777" w:rsidR="001F512A" w:rsidRDefault="001F512A" w:rsidP="002F221E">
      <w:pPr>
        <w:spacing w:before="30"/>
        <w:ind w:firstLine="144"/>
        <w:jc w:val="both"/>
        <w:rPr>
          <w:rFonts w:ascii="Times" w:eastAsia="Times" w:hAnsi="Times" w:cs="Times"/>
          <w:color w:val="000000"/>
        </w:rPr>
      </w:pPr>
    </w:p>
    <w:p w14:paraId="5A5C8F87" w14:textId="68A28CE5" w:rsidR="00732E46" w:rsidRDefault="00DB3364" w:rsidP="00DB3364">
      <w:pPr>
        <w:pStyle w:val="2"/>
        <w:numPr>
          <w:ilvl w:val="0"/>
          <w:numId w:val="0"/>
        </w:numPr>
      </w:pPr>
      <w:r>
        <w:t xml:space="preserve">H. </w:t>
      </w:r>
      <w:r w:rsidR="000F2C11">
        <w:t>Accepted Fonts Within Figures</w:t>
      </w:r>
    </w:p>
    <w:p w14:paraId="2BFB0E7A" w14:textId="77777777" w:rsidR="00732E46" w:rsidRPr="00F33F99" w:rsidRDefault="000F2C11" w:rsidP="00D050EC">
      <w:pPr>
        <w:ind w:firstLine="144"/>
        <w:jc w:val="both"/>
        <w:rPr>
          <w:rFonts w:eastAsia="Times"/>
        </w:rPr>
      </w:pPr>
      <w:r w:rsidRPr="000D4F4C">
        <w:rPr>
          <w:rFonts w:eastAsia="Times"/>
        </w:rPr>
        <w:t xml:space="preserve">When preparing your graphics, IEEE suggests that you </w:t>
      </w:r>
      <w:r w:rsidRPr="008856C3">
        <w:rPr>
          <w:rFonts w:eastAsia="Times"/>
        </w:rPr>
        <w:t>use one</w:t>
      </w:r>
      <w:r w:rsidRPr="00F33F99">
        <w:rPr>
          <w:rFonts w:eastAsia="Times"/>
        </w:rPr>
        <w:t xml:space="preserve"> of the following Open Type fonts: Times New Roman, Helvetica, Arial, Cambria, or Symbol. If you are supplying EPS, PS, or PDF files, all fonts must be embedded. Some fonts may only be native to your operating system; without the fonts embedded, parts of the graphic may be distorted or missing.</w:t>
      </w:r>
    </w:p>
    <w:p w14:paraId="6691FDB2" w14:textId="55B26802" w:rsidR="00732E46" w:rsidRDefault="000F2C11" w:rsidP="00D050EC">
      <w:pPr>
        <w:ind w:firstLine="144"/>
        <w:jc w:val="both"/>
      </w:pPr>
      <w:r>
        <w:t>A safe option when finalizing your figures is to strip out the fonts before you save the files, creating “outline” type. This converts fonts to artwork which will appear uniformly on any screen.</w:t>
      </w:r>
    </w:p>
    <w:p w14:paraId="384CE81F" w14:textId="77777777" w:rsidR="001F512A" w:rsidRPr="00EF6430" w:rsidRDefault="001F512A" w:rsidP="000968E1">
      <w:pPr>
        <w:spacing w:before="20"/>
        <w:ind w:firstLine="144"/>
        <w:jc w:val="both"/>
        <w:rPr>
          <w:rFonts w:ascii="Times" w:eastAsia="Times" w:hAnsi="Times" w:cs="Times"/>
          <w:color w:val="000000"/>
          <w:sz w:val="22"/>
          <w:szCs w:val="22"/>
        </w:rPr>
      </w:pPr>
    </w:p>
    <w:p w14:paraId="09BE84DC" w14:textId="26A3FAFD" w:rsidR="00732E46" w:rsidRDefault="00DB3364" w:rsidP="00DB3364">
      <w:pPr>
        <w:pStyle w:val="2"/>
        <w:numPr>
          <w:ilvl w:val="0"/>
          <w:numId w:val="0"/>
        </w:numPr>
      </w:pPr>
      <w:r>
        <w:lastRenderedPageBreak/>
        <w:t xml:space="preserve">I. </w:t>
      </w:r>
      <w:r w:rsidR="000F2C11">
        <w:t>Using Labels Within Figures</w:t>
      </w:r>
    </w:p>
    <w:p w14:paraId="57E960B8" w14:textId="77777777" w:rsidR="00E653B5" w:rsidRDefault="000F2C11" w:rsidP="00DB3364">
      <w:pPr>
        <w:pStyle w:val="af7"/>
        <w:numPr>
          <w:ilvl w:val="0"/>
          <w:numId w:val="11"/>
        </w:numPr>
        <w:ind w:left="540"/>
      </w:pPr>
      <w:r w:rsidRPr="00EF6430">
        <w:rPr>
          <w:b/>
        </w:rPr>
        <w:t>Figure Axis Labels</w:t>
      </w:r>
    </w:p>
    <w:p w14:paraId="301C6715" w14:textId="77777777" w:rsidR="007054D1" w:rsidRPr="00F33F99" w:rsidRDefault="000F2C11" w:rsidP="007054D1">
      <w:pPr>
        <w:pStyle w:val="af7"/>
        <w:numPr>
          <w:ilvl w:val="1"/>
          <w:numId w:val="11"/>
        </w:numPr>
        <w:jc w:val="both"/>
      </w:pPr>
      <w:r w:rsidRPr="000D4F4C">
        <w:rPr>
          <w:color w:val="000000"/>
        </w:rPr>
        <w:t xml:space="preserve">Figure axis labels are often a source of confusion. Use words rather than symbols. As an example, write the quantity “Magnetization” or “Magnetization </w:t>
      </w:r>
      <w:r w:rsidRPr="008856C3">
        <w:rPr>
          <w:i/>
          <w:color w:val="000000"/>
        </w:rPr>
        <w:t>M</w:t>
      </w:r>
      <w:r w:rsidRPr="008856C3">
        <w:rPr>
          <w:color w:val="000000"/>
        </w:rPr>
        <w:t>,” not just “</w:t>
      </w:r>
      <w:r w:rsidRPr="00F33F99">
        <w:rPr>
          <w:i/>
          <w:color w:val="000000"/>
        </w:rPr>
        <w:t>M</w:t>
      </w:r>
      <w:r w:rsidRPr="00F33F99">
        <w:rPr>
          <w:color w:val="000000"/>
        </w:rPr>
        <w:t xml:space="preserve">.” Put units in parentheses. Do not label axes only with units. </w:t>
      </w:r>
      <w:r w:rsidR="00A6122B" w:rsidRPr="00F33F99">
        <w:rPr>
          <w:color w:val="000000"/>
        </w:rPr>
        <w:t>For</w:t>
      </w:r>
      <w:r w:rsidRPr="00F33F99">
        <w:rPr>
          <w:color w:val="000000"/>
        </w:rPr>
        <w:t xml:space="preserve"> example, write “Magnetization (A/m)” or “Magnetization (A</w:t>
      </w:r>
      <w:r w:rsidR="00E625A7" w:rsidRPr="00D050EC">
        <w:rPr>
          <w:noProof/>
          <w:color w:val="000000"/>
        </w:rPr>
        <w:object w:dxaOrig="100" w:dyaOrig="130" w14:anchorId="087C3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2pt;height:6.2pt;mso-width-percent:0;mso-height-percent:0;mso-width-percent:0;mso-height-percent:0" o:ole="" fillcolor="window">
            <v:imagedata r:id="rId19" o:title=""/>
          </v:shape>
          <o:OLEObject Type="Embed" ProgID="Equation.3" ShapeID="_x0000_i1025" DrawAspect="Content" ObjectID="_1815249618" r:id="rId20"/>
        </w:object>
      </w:r>
      <w:r w:rsidRPr="00F33F99">
        <w:rPr>
          <w:color w:val="000000"/>
        </w:rPr>
        <w:t>m</w:t>
      </w:r>
      <w:r w:rsidRPr="00F33F99">
        <w:rPr>
          <w:rFonts w:ascii="Cambria Math" w:eastAsia="Symbol" w:hAnsi="Cambria Math" w:cs="Cambria Math"/>
          <w:color w:val="000000"/>
          <w:vertAlign w:val="superscript"/>
        </w:rPr>
        <w:t>−</w:t>
      </w:r>
      <w:r w:rsidRPr="00F33F99">
        <w:rPr>
          <w:color w:val="000000"/>
          <w:vertAlign w:val="superscript"/>
        </w:rPr>
        <w:t>1</w:t>
      </w:r>
      <w:r w:rsidRPr="00F33F99">
        <w:rPr>
          <w:color w:val="000000"/>
        </w:rPr>
        <w:t>),” not just “A/m.” Do not label axes with a ratio of quantities and units. For example, write “Temperature (K),” not “Temperature/K.”</w:t>
      </w:r>
    </w:p>
    <w:p w14:paraId="6D4A7B0E" w14:textId="0ACE86F7" w:rsidR="00732E46" w:rsidRPr="00D050EC" w:rsidRDefault="000F2C11" w:rsidP="007054D1">
      <w:pPr>
        <w:pStyle w:val="af7"/>
        <w:numPr>
          <w:ilvl w:val="1"/>
          <w:numId w:val="11"/>
        </w:numPr>
        <w:jc w:val="both"/>
        <w:rPr>
          <w:spacing w:val="-3"/>
        </w:rPr>
      </w:pPr>
      <w:r w:rsidRPr="00D050EC">
        <w:rPr>
          <w:spacing w:val="-3"/>
        </w:rPr>
        <w:t>Multipliers can be especially confusing. Write “Magnetization (kA/m)” or “Magnetization (10</w:t>
      </w:r>
      <w:r w:rsidRPr="00D050EC">
        <w:rPr>
          <w:spacing w:val="-3"/>
          <w:vertAlign w:val="superscript"/>
        </w:rPr>
        <w:t>3</w:t>
      </w:r>
      <w:r w:rsidRPr="00D050EC">
        <w:rPr>
          <w:spacing w:val="-3"/>
        </w:rPr>
        <w:t xml:space="preserve"> A/m).” Do not write “Magnetization (A/m) × 1000” because the reader would not know whether the top axis label </w:t>
      </w:r>
      <w:r w:rsidR="00A6122B" w:rsidRPr="00D050EC">
        <w:rPr>
          <w:spacing w:val="-3"/>
        </w:rPr>
        <w:t>means</w:t>
      </w:r>
      <w:r w:rsidRPr="00D050EC">
        <w:rPr>
          <w:spacing w:val="-3"/>
        </w:rPr>
        <w:t xml:space="preserve"> 16000 A/m or 0.016 A/m. Figure labels should be legible, approximately 8- to 10-point type.</w:t>
      </w:r>
    </w:p>
    <w:p w14:paraId="5D5FC1EB" w14:textId="77777777" w:rsidR="00732E46" w:rsidRDefault="00732E46" w:rsidP="00A65256">
      <w:pPr>
        <w:pStyle w:val="af7"/>
        <w:spacing w:before="40"/>
        <w:ind w:left="0"/>
        <w:contextualSpacing w:val="0"/>
        <w:jc w:val="both"/>
        <w:rPr>
          <w:rFonts w:ascii="Times" w:eastAsia="Times" w:hAnsi="Times" w:cs="Times"/>
          <w:color w:val="000000"/>
        </w:rPr>
      </w:pPr>
    </w:p>
    <w:p w14:paraId="19090765" w14:textId="77777777" w:rsidR="00E653B5" w:rsidRPr="00E653B5" w:rsidRDefault="000F2C11" w:rsidP="00EF6430">
      <w:pPr>
        <w:pStyle w:val="af7"/>
        <w:numPr>
          <w:ilvl w:val="0"/>
          <w:numId w:val="11"/>
        </w:numPr>
        <w:ind w:left="540"/>
      </w:pPr>
      <w:r w:rsidRPr="00EF6430">
        <w:rPr>
          <w:b/>
        </w:rPr>
        <w:t>Subfigure Labels in Multipart Figures and Tables</w:t>
      </w:r>
    </w:p>
    <w:p w14:paraId="20C20803" w14:textId="666703C8" w:rsidR="00732E46" w:rsidRDefault="000F2C11" w:rsidP="00E653B5">
      <w:pPr>
        <w:pStyle w:val="af7"/>
        <w:ind w:left="540"/>
      </w:pPr>
      <w:r w:rsidRPr="00EF6430">
        <w:rPr>
          <w:rFonts w:ascii="Times" w:eastAsia="Times" w:hAnsi="Times" w:cs="Times"/>
          <w:color w:val="000000"/>
        </w:rPr>
        <w:t xml:space="preserve">Multipart figures should be combined and labeled before final submission. Labels should appear centered below each subfigure in 8-point Times New Roman font in the format of (a) (b) (c). </w:t>
      </w:r>
    </w:p>
    <w:p w14:paraId="568DB727" w14:textId="678CEB8E" w:rsidR="00732E46" w:rsidRPr="00EF6430" w:rsidRDefault="00EF6430" w:rsidP="007B62A7">
      <w:pPr>
        <w:pStyle w:val="2"/>
        <w:numPr>
          <w:ilvl w:val="0"/>
          <w:numId w:val="0"/>
        </w:numPr>
        <w:rPr>
          <w:rFonts w:eastAsia="Cambria"/>
        </w:rPr>
      </w:pPr>
      <w:r w:rsidRPr="00EF6430">
        <w:rPr>
          <w:rFonts w:eastAsia="Cambria"/>
        </w:rPr>
        <w:t xml:space="preserve">J. </w:t>
      </w:r>
      <w:r w:rsidR="000F2C11" w:rsidRPr="00EF6430">
        <w:rPr>
          <w:rFonts w:eastAsia="Cambria"/>
        </w:rPr>
        <w:t xml:space="preserve">Referencing a Figure or </w:t>
      </w:r>
      <w:r w:rsidR="000F2C11" w:rsidRPr="007B62A7">
        <w:rPr>
          <w:rFonts w:eastAsia="Cambria"/>
        </w:rPr>
        <w:t>Table</w:t>
      </w:r>
      <w:r w:rsidR="000F2C11" w:rsidRPr="00EF6430">
        <w:rPr>
          <w:rFonts w:eastAsia="Cambria"/>
        </w:rPr>
        <w:t xml:space="preserve"> Within Your Article</w:t>
      </w:r>
    </w:p>
    <w:p w14:paraId="15B83135"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When referencing your figures and tables within your </w:t>
      </w:r>
      <w:r>
        <w:t>article</w:t>
      </w:r>
      <w:r>
        <w:rPr>
          <w:rFonts w:ascii="Times" w:eastAsia="Times" w:hAnsi="Times" w:cs="Times"/>
          <w:color w:val="000000"/>
        </w:rPr>
        <w:t xml:space="preserve">, use the abbreviation “Fig.” even at the beginning of a sentence. Do not abbreviate “Table.” Tables should be numbered with Roman </w:t>
      </w:r>
      <w:r>
        <w:rPr>
          <w:rFonts w:ascii="Times" w:eastAsia="Times" w:hAnsi="Times" w:cs="Times"/>
        </w:rPr>
        <w:t>n</w:t>
      </w:r>
      <w:r>
        <w:rPr>
          <w:rFonts w:ascii="Times" w:eastAsia="Times" w:hAnsi="Times" w:cs="Times"/>
          <w:color w:val="000000"/>
        </w:rPr>
        <w:t>umerals.</w:t>
      </w:r>
    </w:p>
    <w:p w14:paraId="56447028" w14:textId="57BA5642" w:rsidR="00732E46" w:rsidRDefault="00732E46" w:rsidP="00A65256">
      <w:pPr>
        <w:spacing w:before="40"/>
        <w:jc w:val="both"/>
      </w:pPr>
    </w:p>
    <w:p w14:paraId="1A8F8753" w14:textId="1C6131EF" w:rsidR="00732E46" w:rsidRDefault="00EF6430" w:rsidP="00827FB8">
      <w:pPr>
        <w:pStyle w:val="2"/>
        <w:numPr>
          <w:ilvl w:val="0"/>
          <w:numId w:val="0"/>
        </w:numPr>
        <w:spacing w:before="100"/>
        <w:jc w:val="both"/>
      </w:pPr>
      <w:r>
        <w:t xml:space="preserve">K. </w:t>
      </w:r>
      <w:r w:rsidR="000F2C11">
        <w:t>Submitting Your Graphics</w:t>
      </w:r>
    </w:p>
    <w:p w14:paraId="0F4737FF" w14:textId="77777777" w:rsidR="00732E46" w:rsidRPr="00D050EC" w:rsidRDefault="000F2C11">
      <w:pPr>
        <w:ind w:firstLine="144"/>
        <w:jc w:val="both"/>
        <w:rPr>
          <w:spacing w:val="-2"/>
        </w:rPr>
      </w:pPr>
      <w:r w:rsidRPr="00D050EC">
        <w:rPr>
          <w:spacing w:val="-2"/>
        </w:rPr>
        <w:t>Because IEEE will do the final formatting of your article, all figures, figure captions, and tables can be placed at the end of your article. However, if you do place your figures within the article, they should be placed at the top of the page, closest to the first mention in the text. Figures should be submitted as individual files, separate from the manuscript in one of the file formats listed abov</w:t>
      </w:r>
      <w:r w:rsidRPr="00D050EC">
        <w:rPr>
          <w:spacing w:val="-2"/>
          <w:highlight w:val="white"/>
        </w:rPr>
        <w:t>e.</w:t>
      </w:r>
      <w:r w:rsidRPr="00D050EC">
        <w:rPr>
          <w:spacing w:val="-2"/>
        </w:rPr>
        <w:t xml:space="preserve"> Place figure captions below the figures; place table headings above the tables. Do not include captions as part of the figures, or put them in “text boxes” linked to the figures. Also, do not place borders around the outside of your figures.</w:t>
      </w:r>
    </w:p>
    <w:p w14:paraId="3A3BF7FF" w14:textId="77E6438C" w:rsidR="00732E46" w:rsidRDefault="00732E46" w:rsidP="00A65256">
      <w:pPr>
        <w:spacing w:before="40"/>
        <w:jc w:val="both"/>
      </w:pPr>
    </w:p>
    <w:p w14:paraId="29A5BA9E" w14:textId="11B1C491" w:rsidR="00732E46" w:rsidRDefault="00EF6430" w:rsidP="00827FB8">
      <w:pPr>
        <w:pStyle w:val="2"/>
        <w:numPr>
          <w:ilvl w:val="0"/>
          <w:numId w:val="0"/>
        </w:numPr>
        <w:spacing w:before="100"/>
        <w:rPr>
          <w:i w:val="0"/>
        </w:rPr>
      </w:pPr>
      <w:r>
        <w:t xml:space="preserve">L. </w:t>
      </w:r>
      <w:r w:rsidR="000F2C11">
        <w:t xml:space="preserve">Color Processing / Printing in IEEE Transactions, Journals, </w:t>
      </w:r>
      <w:r w:rsidR="000F2C11" w:rsidRPr="007B62A7">
        <w:t>and</w:t>
      </w:r>
      <w:r w:rsidR="000F2C11">
        <w:t xml:space="preserve"> Letters</w:t>
      </w:r>
    </w:p>
    <w:p w14:paraId="55F51617" w14:textId="77777777" w:rsidR="00732E46" w:rsidRDefault="000F2C11">
      <w:pPr>
        <w:ind w:firstLine="144"/>
        <w:jc w:val="both"/>
        <w:rPr>
          <w:rFonts w:ascii="Times" w:eastAsia="Times" w:hAnsi="Times" w:cs="Times"/>
          <w:color w:val="000000"/>
        </w:rPr>
      </w:pPr>
      <w:r>
        <w:t xml:space="preserve">All IEEE Transactions, Journals, and Letters allow an author to publish color figures on IEEE </w:t>
      </w:r>
      <w:r>
        <w:rPr>
          <w:i/>
        </w:rPr>
        <w:t>Xplore</w:t>
      </w:r>
      <w:r>
        <w:t xml:space="preserve"> at no charge, and automatically convert them to grayscale for print versions. </w:t>
      </w:r>
      <w:r>
        <w:rPr>
          <w:rFonts w:ascii="Times" w:eastAsia="Times" w:hAnsi="Times" w:cs="Times"/>
          <w:color w:val="000000"/>
        </w:rPr>
        <w:t xml:space="preserve">In most journals, figures and tables may alternatively be printed in color if an author chooses to do so. Please note that this service comes at an extra expense to the author. If you intend to have print color graphics, </w:t>
      </w:r>
      <w:r>
        <w:rPr>
          <w:rFonts w:ascii="Times" w:eastAsia="Times" w:hAnsi="Times" w:cs="Times"/>
        </w:rPr>
        <w:t xml:space="preserve">you will have the opportunity to indicate this in the Author Gateway and will be contacted by </w:t>
      </w:r>
      <w:proofErr w:type="spellStart"/>
      <w:r>
        <w:rPr>
          <w:rFonts w:ascii="Times" w:eastAsia="Times" w:hAnsi="Times" w:cs="Times"/>
        </w:rPr>
        <w:t>PubOps</w:t>
      </w:r>
      <w:proofErr w:type="spellEnd"/>
      <w:r>
        <w:rPr>
          <w:rFonts w:ascii="Times" w:eastAsia="Times" w:hAnsi="Times" w:cs="Times"/>
        </w:rPr>
        <w:t xml:space="preserve"> to confirm the charges</w:t>
      </w:r>
      <w:r>
        <w:rPr>
          <w:rFonts w:ascii="Times" w:eastAsia="Times" w:hAnsi="Times" w:cs="Times"/>
          <w:color w:val="000000"/>
        </w:rPr>
        <w:t>.</w:t>
      </w:r>
    </w:p>
    <w:p w14:paraId="34DD075D" w14:textId="4A394D81" w:rsidR="00732E46" w:rsidRPr="00D050EC" w:rsidRDefault="00DB3364" w:rsidP="00D050EC">
      <w:pPr>
        <w:keepNext/>
        <w:pBdr>
          <w:top w:val="nil"/>
          <w:left w:val="nil"/>
          <w:bottom w:val="nil"/>
          <w:right w:val="nil"/>
          <w:between w:val="nil"/>
        </w:pBdr>
        <w:spacing w:before="240" w:after="80"/>
        <w:jc w:val="center"/>
        <w:rPr>
          <w:color w:val="000000"/>
        </w:rPr>
      </w:pPr>
      <w:r w:rsidRPr="00D050EC">
        <w:rPr>
          <w:smallCaps/>
          <w:color w:val="000000"/>
        </w:rPr>
        <w:t xml:space="preserve">V. </w:t>
      </w:r>
      <w:r w:rsidR="000F2C11" w:rsidRPr="00D050EC">
        <w:rPr>
          <w:smallCaps/>
          <w:color w:val="000000"/>
        </w:rPr>
        <w:t>Conclusion</w:t>
      </w:r>
    </w:p>
    <w:p w14:paraId="64E169CA" w14:textId="77777777" w:rsidR="00C54B70" w:rsidRDefault="000F2C11" w:rsidP="007B62A7">
      <w:pPr>
        <w:ind w:firstLine="144"/>
        <w:jc w:val="both"/>
      </w:pPr>
      <w:r>
        <w:t xml:space="preserve">A conclusion section is not required. Although a conclusion may review the main points of the article, do not </w:t>
      </w:r>
      <w:r w:rsidRPr="007B62A7">
        <w:rPr>
          <w:rFonts w:ascii="Times" w:eastAsia="Times" w:hAnsi="Times" w:cs="Times"/>
          <w:color w:val="000000"/>
        </w:rPr>
        <w:t>replicate</w:t>
      </w:r>
      <w:r>
        <w:t xml:space="preserve"> the abstract as the conclusion. A conclusion might elaborate on the importance of the work or suggest applications and extensions.</w:t>
      </w:r>
    </w:p>
    <w:p w14:paraId="52521F00" w14:textId="77777777" w:rsidR="00732E46" w:rsidRPr="00D050EC" w:rsidRDefault="000F2C11" w:rsidP="00827FB8">
      <w:pPr>
        <w:pStyle w:val="1"/>
      </w:pPr>
      <w:r w:rsidRPr="00D050EC">
        <w:t>Appendix</w:t>
      </w:r>
    </w:p>
    <w:p w14:paraId="337C2468"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Appendixes, if needed, appear before the acknowledgment.</w:t>
      </w:r>
    </w:p>
    <w:p w14:paraId="74726847" w14:textId="77777777" w:rsidR="00732E46" w:rsidRPr="00F33F99" w:rsidRDefault="000F2C11" w:rsidP="00827FB8">
      <w:pPr>
        <w:pStyle w:val="1"/>
      </w:pPr>
      <w:bookmarkStart w:id="2" w:name="_heading=h.ji51hl1e8dp3" w:colFirst="0" w:colLast="0"/>
      <w:bookmarkEnd w:id="2"/>
      <w:r w:rsidRPr="00F33F99">
        <w:t>References and Footnotes</w:t>
      </w:r>
    </w:p>
    <w:p w14:paraId="6417537E" w14:textId="3B3D54D6" w:rsidR="00732E46" w:rsidRDefault="00EF6430" w:rsidP="00827FB8">
      <w:pPr>
        <w:pStyle w:val="2"/>
        <w:numPr>
          <w:ilvl w:val="0"/>
          <w:numId w:val="0"/>
        </w:numPr>
        <w:tabs>
          <w:tab w:val="left" w:pos="180"/>
        </w:tabs>
        <w:spacing w:before="140"/>
        <w:ind w:left="90"/>
      </w:pPr>
      <w:r>
        <w:t xml:space="preserve">A. </w:t>
      </w:r>
      <w:r w:rsidR="000F2C11">
        <w:t>References</w:t>
      </w:r>
    </w:p>
    <w:p w14:paraId="6DEAF198" w14:textId="6AC0F2D2"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References need not be cited in text. When they are, they appear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w:t>
      </w:r>
      <w:proofErr w:type="gramStart"/>
      <w:r>
        <w:rPr>
          <w:color w:val="000000"/>
        </w:rPr>
        <w:t>... .</w:t>
      </w:r>
      <w:proofErr w:type="gramEnd"/>
      <w:r>
        <w:rPr>
          <w:color w:val="000000"/>
        </w:rPr>
        <w:t xml:space="preserve">” Please do not use automatic endnotes in </w:t>
      </w:r>
      <w:r>
        <w:rPr>
          <w:i/>
          <w:color w:val="000000"/>
        </w:rPr>
        <w:t>Word</w:t>
      </w:r>
      <w:r>
        <w:rPr>
          <w:color w:val="000000"/>
        </w:rPr>
        <w:t>, rather, type the reference list at the end of the paper using the “References” style.</w:t>
      </w:r>
    </w:p>
    <w:p w14:paraId="694358D7" w14:textId="1DB68CD7" w:rsidR="00732E46" w:rsidRPr="00D050EC" w:rsidRDefault="000F2C11">
      <w:pPr>
        <w:widowControl w:val="0"/>
        <w:pBdr>
          <w:top w:val="nil"/>
          <w:left w:val="nil"/>
          <w:bottom w:val="nil"/>
          <w:right w:val="nil"/>
          <w:between w:val="nil"/>
        </w:pBdr>
        <w:spacing w:line="252" w:lineRule="auto"/>
        <w:ind w:firstLine="144"/>
        <w:jc w:val="both"/>
        <w:rPr>
          <w:color w:val="000000"/>
          <w:spacing w:val="-4"/>
        </w:rPr>
      </w:pPr>
      <w:r w:rsidRPr="00D050EC">
        <w:rPr>
          <w:color w:val="000000"/>
          <w:spacing w:val="-4"/>
        </w:rPr>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Use them all; use </w:t>
      </w:r>
      <w:r w:rsidRPr="00D050EC">
        <w:rPr>
          <w:i/>
          <w:color w:val="000000"/>
          <w:spacing w:val="-4"/>
        </w:rPr>
        <w:t>et al</w:t>
      </w:r>
      <w:r w:rsidRPr="00D050EC">
        <w:rPr>
          <w:color w:val="000000"/>
          <w:spacing w:val="-4"/>
        </w:rPr>
        <w:t>. only if names are not given or if t</w:t>
      </w:r>
      <w:r w:rsidRPr="00D050EC">
        <w:rPr>
          <w:spacing w:val="-4"/>
        </w:rPr>
        <w:t>here are more than 6 authors</w:t>
      </w:r>
      <w:r w:rsidRPr="00D050EC">
        <w:rPr>
          <w:color w:val="000000"/>
          <w:spacing w:val="-4"/>
        </w:rPr>
        <w:t xml:space="preserve">. Use commas around Jr., Sr., and III in names. Abbreviate conference titles. When citing IEEE </w:t>
      </w:r>
      <w:r w:rsidRPr="00D050EC">
        <w:rPr>
          <w:spacing w:val="-4"/>
        </w:rPr>
        <w:t>T</w:t>
      </w:r>
      <w:r w:rsidRPr="00D050EC">
        <w:rPr>
          <w:color w:val="000000"/>
          <w:spacing w:val="-4"/>
        </w:rPr>
        <w:t xml:space="preserve">ransactions, provide the issue number, page range, volume number, </w:t>
      </w:r>
      <w:r w:rsidRPr="00D050EC">
        <w:rPr>
          <w:spacing w:val="-4"/>
        </w:rPr>
        <w:t xml:space="preserve">month if available, and </w:t>
      </w:r>
      <w:r w:rsidRPr="00D050EC">
        <w:rPr>
          <w:color w:val="000000"/>
          <w:spacing w:val="-4"/>
        </w:rPr>
        <w:t xml:space="preserve">year. When referencing a patent, provide the day and the month of issue, or application. References may not include all information; please obtain and include relevant information. Do not combine references. There must be only one reference with each number. If there is a URL included with the reference, it can be included at the end of the reference. </w:t>
      </w:r>
    </w:p>
    <w:p w14:paraId="57B41D6D" w14:textId="7971CD77" w:rsidR="00732E46" w:rsidRPr="00D050EC" w:rsidRDefault="000F2C11">
      <w:pPr>
        <w:widowControl w:val="0"/>
        <w:pBdr>
          <w:top w:val="nil"/>
          <w:left w:val="nil"/>
          <w:bottom w:val="nil"/>
          <w:right w:val="nil"/>
          <w:between w:val="nil"/>
        </w:pBdr>
        <w:spacing w:line="252" w:lineRule="auto"/>
        <w:ind w:firstLine="144"/>
        <w:jc w:val="both"/>
        <w:rPr>
          <w:color w:val="000000"/>
          <w:spacing w:val="-2"/>
        </w:rPr>
      </w:pPr>
      <w:r w:rsidRPr="00D050EC">
        <w:rPr>
          <w:color w:val="000000"/>
          <w:spacing w:val="-2"/>
        </w:rPr>
        <w:t xml:space="preserve">Other than books, capitalize only the first word in </w:t>
      </w:r>
      <w:r w:rsidRPr="00D050EC">
        <w:rPr>
          <w:spacing w:val="-2"/>
        </w:rPr>
        <w:t>an article</w:t>
      </w:r>
      <w:r w:rsidRPr="00D050EC">
        <w:rPr>
          <w:color w:val="000000"/>
          <w:spacing w:val="-2"/>
        </w:rPr>
        <w:t xml:space="preserve"> title, except for proper nouns and element symbols. For </w:t>
      </w:r>
      <w:r w:rsidRPr="00D050EC">
        <w:rPr>
          <w:spacing w:val="-2"/>
        </w:rPr>
        <w:t xml:space="preserve">articles </w:t>
      </w:r>
      <w:r w:rsidRPr="00D050EC">
        <w:rPr>
          <w:color w:val="000000"/>
          <w:spacing w:val="-2"/>
        </w:rPr>
        <w:t xml:space="preserve">published in translation journals, please give the English citation first, followed by the original foreign-language citation. See the end of this document for formats and examples of common references. For a complete discussion of references and their formats, see the </w:t>
      </w:r>
      <w:r w:rsidRPr="00D050EC">
        <w:rPr>
          <w:i/>
          <w:iCs/>
          <w:color w:val="000000"/>
          <w:spacing w:val="-2"/>
        </w:rPr>
        <w:t xml:space="preserve">IEEE Editorial </w:t>
      </w:r>
      <w:r w:rsidRPr="00D050EC">
        <w:rPr>
          <w:i/>
          <w:iCs/>
          <w:spacing w:val="-2"/>
        </w:rPr>
        <w:t>S</w:t>
      </w:r>
      <w:r w:rsidRPr="00D050EC">
        <w:rPr>
          <w:i/>
          <w:iCs/>
          <w:color w:val="000000"/>
          <w:spacing w:val="-2"/>
        </w:rPr>
        <w:t xml:space="preserve">tyle </w:t>
      </w:r>
      <w:r w:rsidRPr="00D050EC">
        <w:rPr>
          <w:i/>
          <w:iCs/>
          <w:spacing w:val="-2"/>
        </w:rPr>
        <w:t>M</w:t>
      </w:r>
      <w:r w:rsidRPr="00D050EC">
        <w:rPr>
          <w:i/>
          <w:iCs/>
          <w:color w:val="000000"/>
          <w:spacing w:val="-2"/>
        </w:rPr>
        <w:t>anual</w:t>
      </w:r>
      <w:r w:rsidRPr="00D050EC">
        <w:rPr>
          <w:color w:val="000000"/>
          <w:spacing w:val="-2"/>
        </w:rPr>
        <w:t xml:space="preserve"> </w:t>
      </w:r>
      <w:r w:rsidR="00A530D2" w:rsidRPr="00D050EC">
        <w:rPr>
          <w:i/>
          <w:iCs/>
          <w:color w:val="000000"/>
          <w:spacing w:val="-2"/>
        </w:rPr>
        <w:t xml:space="preserve">for Authors </w:t>
      </w:r>
      <w:r w:rsidRPr="00D050EC">
        <w:rPr>
          <w:color w:val="000000"/>
          <w:spacing w:val="-2"/>
        </w:rPr>
        <w:t xml:space="preserve">at </w:t>
      </w:r>
      <w:hyperlink r:id="rId21">
        <w:r w:rsidRPr="00D050EC">
          <w:rPr>
            <w:color w:val="1155CC"/>
            <w:spacing w:val="-2"/>
            <w:sz w:val="19"/>
            <w:szCs w:val="19"/>
            <w:highlight w:val="white"/>
            <w:u w:val="single"/>
          </w:rPr>
          <w:t>https://journals.ieeeauthorcenter.ieee.org/create-your-ieee-journal-article/create-the-text-of-your-article/ieee-editorial-style-manual/</w:t>
        </w:r>
      </w:hyperlink>
      <w:r w:rsidRPr="00D050EC">
        <w:rPr>
          <w:color w:val="000000"/>
          <w:spacing w:val="-2"/>
        </w:rPr>
        <w:t>.</w:t>
      </w:r>
    </w:p>
    <w:p w14:paraId="1DE45720" w14:textId="77777777" w:rsidR="001F512A" w:rsidRDefault="001F512A">
      <w:pPr>
        <w:widowControl w:val="0"/>
        <w:pBdr>
          <w:top w:val="nil"/>
          <w:left w:val="nil"/>
          <w:bottom w:val="nil"/>
          <w:right w:val="nil"/>
          <w:between w:val="nil"/>
        </w:pBdr>
        <w:spacing w:line="252" w:lineRule="auto"/>
        <w:ind w:firstLine="144"/>
        <w:jc w:val="both"/>
        <w:rPr>
          <w:color w:val="000000"/>
        </w:rPr>
      </w:pPr>
    </w:p>
    <w:p w14:paraId="33D9B8F6" w14:textId="4F3C62E8" w:rsidR="00732E46" w:rsidRDefault="00EF6430" w:rsidP="00EF6430">
      <w:pPr>
        <w:pStyle w:val="2"/>
        <w:numPr>
          <w:ilvl w:val="0"/>
          <w:numId w:val="0"/>
        </w:numPr>
      </w:pPr>
      <w:r>
        <w:t xml:space="preserve">B. </w:t>
      </w:r>
      <w:r w:rsidR="000F2C11">
        <w:t>Footnotes</w:t>
      </w:r>
    </w:p>
    <w:p w14:paraId="42999174" w14:textId="2A5100B6"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Number footnotes separately in superscripts (Insert | Footnote).</w:t>
      </w:r>
      <w:r w:rsidRPr="001B0334">
        <w:rPr>
          <w:color w:val="000000"/>
          <w:vertAlign w:val="superscript"/>
        </w:rPr>
        <w:footnoteReference w:id="2"/>
      </w:r>
      <w:r>
        <w:rPr>
          <w:color w:val="000000"/>
        </w:rPr>
        <w:t xml:space="preserve"> Place the actual footnote at the bottom of the column in which it is cited; do not put footnotes in the reference list (endnotes). Use letters for table footnotes (see </w:t>
      </w:r>
      <w:r>
        <w:rPr>
          <w:color w:val="000000"/>
        </w:rPr>
        <w:lastRenderedPageBreak/>
        <w:t xml:space="preserve">Table I). </w:t>
      </w:r>
    </w:p>
    <w:p w14:paraId="4CEB8735" w14:textId="21956F37" w:rsidR="00732E46" w:rsidRDefault="000F2C11" w:rsidP="00827FB8">
      <w:pPr>
        <w:pStyle w:val="1"/>
        <w:spacing w:before="220"/>
      </w:pPr>
      <w:r>
        <w:t xml:space="preserve">Submitting Your </w:t>
      </w:r>
      <w:r w:rsidR="00E57D3D" w:rsidRPr="00E57D3D">
        <w:t>Article</w:t>
      </w:r>
      <w:r w:rsidR="00E57D3D">
        <w:t xml:space="preserve"> </w:t>
      </w:r>
      <w:r>
        <w:t>for Review</w:t>
      </w:r>
    </w:p>
    <w:p w14:paraId="02AED5B9" w14:textId="281E4866" w:rsidR="00732E46" w:rsidRDefault="00EF6430" w:rsidP="00EF6430">
      <w:pPr>
        <w:pStyle w:val="2"/>
        <w:numPr>
          <w:ilvl w:val="0"/>
          <w:numId w:val="0"/>
        </w:numPr>
      </w:pPr>
      <w:r>
        <w:t xml:space="preserve">A. </w:t>
      </w:r>
      <w:r w:rsidR="000F2C11">
        <w:t xml:space="preserve">Review Stage Using </w:t>
      </w:r>
      <w:proofErr w:type="spellStart"/>
      <w:r w:rsidR="000F2C11">
        <w:t>ScholarOne</w:t>
      </w:r>
      <w:proofErr w:type="spellEnd"/>
      <w:r w:rsidR="000F2C11">
        <w:t xml:space="preserve"> Manuscripts</w:t>
      </w:r>
    </w:p>
    <w:p w14:paraId="11B24C45" w14:textId="087C76F6" w:rsidR="00732E46" w:rsidRDefault="000F2C11" w:rsidP="007B62A7">
      <w:pPr>
        <w:tabs>
          <w:tab w:val="left" w:pos="360"/>
        </w:tabs>
        <w:ind w:firstLine="144"/>
        <w:jc w:val="both"/>
      </w:pPr>
      <w:r>
        <w:rPr>
          <w:color w:val="000000"/>
        </w:rPr>
        <w:t xml:space="preserve">Contributions to the Transactions, Journals, and Letters may be submitted electronically on IEEE’s online manuscript submission and peer-review system, </w:t>
      </w:r>
      <w:proofErr w:type="spellStart"/>
      <w:r>
        <w:rPr>
          <w:color w:val="000000"/>
        </w:rPr>
        <w:t>ScholarOne</w:t>
      </w:r>
      <w:proofErr w:type="spellEnd"/>
      <w:r>
        <w:rPr>
          <w:color w:val="000000"/>
        </w:rPr>
        <w:t xml:space="preserve"> Manuscripts. You </w:t>
      </w:r>
      <w:r>
        <w:t xml:space="preserve">can get help choosing the correct publication for your manuscript as well as find their corresponding </w:t>
      </w:r>
      <w:proofErr w:type="spellStart"/>
      <w:r>
        <w:t>ScholarOne</w:t>
      </w:r>
      <w:proofErr w:type="spellEnd"/>
      <w:r>
        <w:t xml:space="preserve"> Manuscripts peer review site using the tools listed at</w:t>
      </w:r>
      <w:r w:rsidR="00E57D3D">
        <w:t xml:space="preserve"> </w:t>
      </w:r>
      <w:hyperlink r:id="rId22">
        <w:r>
          <w:rPr>
            <w:color w:val="0000FF"/>
            <w:u w:val="single"/>
          </w:rPr>
          <w:t>http://www.ieee.org/publications_standards/publications/authors/authors_submission.html</w:t>
        </w:r>
      </w:hyperlink>
      <w:r>
        <w:rPr>
          <w:color w:val="000000"/>
        </w:rPr>
        <w:t xml:space="preserve"> </w:t>
      </w:r>
      <w:r>
        <w:t xml:space="preserve">Once you have chosen your publication and navigated to the </w:t>
      </w:r>
      <w:proofErr w:type="spellStart"/>
      <w:r>
        <w:t>ScholarOne</w:t>
      </w:r>
      <w:proofErr w:type="spellEnd"/>
      <w:r>
        <w:t xml:space="preserve"> site, check first to see if you have an existing account. If there is none, please create a new account. After logging in, go to your Author Center and click “Start New Submission.”</w:t>
      </w:r>
    </w:p>
    <w:p w14:paraId="0024B00E" w14:textId="33C269C5" w:rsidR="00732E46" w:rsidRDefault="000F2C11" w:rsidP="00D050EC">
      <w:pPr>
        <w:ind w:firstLine="144"/>
        <w:jc w:val="both"/>
      </w:pPr>
      <w:r>
        <w:t>Along with other information, you will be asked to select the manuscript type from the journal’s pre-determined list of options</w:t>
      </w:r>
      <w:r w:rsidR="00E45781">
        <w:t>.</w:t>
      </w:r>
      <w:r>
        <w:t xml:space="preserve"> Depending on the journal, there are various steps to the submission process; please make sure to carefully answer all of the </w:t>
      </w:r>
      <w:r w:rsidRPr="00D050EC">
        <w:rPr>
          <w:rFonts w:ascii="Times" w:eastAsia="Times" w:hAnsi="Times" w:cs="Times"/>
          <w:color w:val="000000"/>
        </w:rPr>
        <w:t>submission</w:t>
      </w:r>
      <w:r>
        <w:t xml:space="preserve"> questions presented to you.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w:t>
      </w:r>
      <w:proofErr w:type="spellStart"/>
      <w:r>
        <w:t>ScholarOne</w:t>
      </w:r>
      <w:proofErr w:type="spellEnd"/>
      <w:r>
        <w:t xml:space="preserve"> Manuscripts, please contact </w:t>
      </w:r>
      <w:r>
        <w:rPr>
          <w:color w:val="1155CC"/>
        </w:rPr>
        <w:t>oprs-support@ieee.org</w:t>
      </w:r>
      <w:r>
        <w:t xml:space="preserve"> or call +1 732 465 5861.</w:t>
      </w:r>
    </w:p>
    <w:p w14:paraId="1A82A7C6" w14:textId="4460738C" w:rsidR="00732E46" w:rsidRDefault="000F2C11" w:rsidP="00D050EC">
      <w:pPr>
        <w:ind w:firstLine="144"/>
        <w:jc w:val="both"/>
      </w:pPr>
      <w:proofErr w:type="spellStart"/>
      <w:r>
        <w:t>ScholarOne</w:t>
      </w:r>
      <w:proofErr w:type="spellEnd"/>
      <w:r>
        <w:t xml:space="preserve"> Manuscripts will accept files for review in various formats. </w:t>
      </w:r>
      <w:r w:rsidR="0080720F">
        <w:t>T</w:t>
      </w:r>
      <w:r>
        <w:t>here is a “Journal Home</w:t>
      </w:r>
      <w:r w:rsidR="0080720F">
        <w:t>”</w:t>
      </w:r>
      <w:r>
        <w:t xml:space="preserve"> link on the log-in page of each </w:t>
      </w:r>
      <w:proofErr w:type="spellStart"/>
      <w:r>
        <w:t>ScholarOne</w:t>
      </w:r>
      <w:proofErr w:type="spellEnd"/>
      <w:r>
        <w:t xml:space="preserve"> Manuscripts site that will bring you to the journal’s homepage with their detailed requirements; please check these guidelines for your particular journal before you submit.  </w:t>
      </w:r>
    </w:p>
    <w:p w14:paraId="03B9F038" w14:textId="77777777" w:rsidR="001F512A" w:rsidRDefault="001F512A">
      <w:pPr>
        <w:tabs>
          <w:tab w:val="left" w:pos="360"/>
        </w:tabs>
        <w:jc w:val="both"/>
      </w:pPr>
    </w:p>
    <w:p w14:paraId="21CD2FA6" w14:textId="224F6972" w:rsidR="00732E46" w:rsidRDefault="00EF6430" w:rsidP="00EF6430">
      <w:pPr>
        <w:pStyle w:val="2"/>
        <w:numPr>
          <w:ilvl w:val="0"/>
          <w:numId w:val="0"/>
        </w:numPr>
      </w:pPr>
      <w:r>
        <w:t xml:space="preserve">B. </w:t>
      </w:r>
      <w:r w:rsidR="000F2C11">
        <w:t xml:space="preserve">Final Stage Using </w:t>
      </w:r>
      <w:proofErr w:type="spellStart"/>
      <w:r w:rsidR="000F2C11">
        <w:t>ScholarOne</w:t>
      </w:r>
      <w:proofErr w:type="spellEnd"/>
      <w:r w:rsidR="000F2C11">
        <w:t xml:space="preserve"> Manuscripts</w:t>
      </w:r>
    </w:p>
    <w:p w14:paraId="57A9A954" w14:textId="48F21AC0" w:rsidR="00732E46" w:rsidRDefault="000F2C11" w:rsidP="007B62A7">
      <w:pPr>
        <w:ind w:firstLine="144"/>
        <w:jc w:val="both"/>
      </w:pPr>
      <w:r>
        <w:t xml:space="preserve">Upon acceptance, you will receive an email with specific instructions regarding the submission of your final files. To avoid any delays in publication, please be sure to follow these instructions. </w:t>
      </w:r>
      <w:r w:rsidR="0080720F">
        <w:t>Fi</w:t>
      </w:r>
      <w:r>
        <w:t xml:space="preserve">nal submissions should include source files of your accepted manuscript, high quality graphic files (if not embedded in your source file), and a formatted pdf file. The accepted version of your manuscript will also be sent to the IEEE publication teams for a comparison to the final files to ensure no significant or unauthorized changes were made after acceptance. If you have any questions regarding the final submission process, please contact the administrative contact for the journal. </w:t>
      </w:r>
    </w:p>
    <w:p w14:paraId="22D1D3EF" w14:textId="433D988D" w:rsidR="00732E46" w:rsidRDefault="000F2C11" w:rsidP="00D050EC">
      <w:pPr>
        <w:ind w:firstLine="144"/>
        <w:jc w:val="both"/>
      </w:pPr>
      <w:r>
        <w:t xml:space="preserve">When submitting your final files on a hybrid OA journal you will have the opportunity to designate your article as “open access” if you agree to pay the IEEE open access fee. Please select the appropriate choice. Immediately after you have submitted your final files through </w:t>
      </w:r>
      <w:proofErr w:type="spellStart"/>
      <w:r>
        <w:t>ScholarOne</w:t>
      </w:r>
      <w:proofErr w:type="spellEnd"/>
      <w:r>
        <w:t xml:space="preserve"> Manuscripts you will be automatically redirected to the IEEE electronic copyright form wizard. Please complete the copyright at that time to avoid publication delays. </w:t>
      </w:r>
    </w:p>
    <w:p w14:paraId="5DC46466" w14:textId="618BA0BF" w:rsidR="00732E46" w:rsidRPr="00EC35CE" w:rsidRDefault="00EF6430" w:rsidP="008856C3">
      <w:pPr>
        <w:pStyle w:val="2"/>
        <w:numPr>
          <w:ilvl w:val="0"/>
          <w:numId w:val="0"/>
        </w:numPr>
      </w:pPr>
      <w:r w:rsidRPr="008856C3">
        <w:t xml:space="preserve">C. </w:t>
      </w:r>
      <w:r w:rsidR="000F2C11" w:rsidRPr="008856C3">
        <w:t>Copyright Form</w:t>
      </w:r>
    </w:p>
    <w:p w14:paraId="524C8A86" w14:textId="7794EDF2" w:rsidR="00732E46" w:rsidRPr="006B68F3" w:rsidRDefault="000F2C11">
      <w:pPr>
        <w:widowControl w:val="0"/>
        <w:pBdr>
          <w:top w:val="nil"/>
          <w:left w:val="nil"/>
          <w:bottom w:val="nil"/>
          <w:right w:val="nil"/>
          <w:between w:val="nil"/>
        </w:pBdr>
        <w:spacing w:line="252" w:lineRule="auto"/>
        <w:ind w:firstLine="202"/>
        <w:jc w:val="both"/>
        <w:rPr>
          <w:color w:val="000000"/>
          <w:spacing w:val="-2"/>
        </w:rPr>
      </w:pPr>
      <w:r w:rsidRPr="006B68F3">
        <w:rPr>
          <w:color w:val="222222"/>
          <w:spacing w:val="-2"/>
          <w:highlight w:val="white"/>
        </w:rPr>
        <w:t xml:space="preserve">Authors must submit an electronic IEEE Copyright Form </w:t>
      </w:r>
      <w:r w:rsidRPr="006B68F3">
        <w:rPr>
          <w:color w:val="222222"/>
          <w:spacing w:val="-2"/>
          <w:highlight w:val="white"/>
        </w:rPr>
        <w:t>(</w:t>
      </w:r>
      <w:proofErr w:type="spellStart"/>
      <w:r w:rsidRPr="006B68F3">
        <w:rPr>
          <w:color w:val="222222"/>
          <w:spacing w:val="-2"/>
          <w:highlight w:val="white"/>
        </w:rPr>
        <w:t>eCF</w:t>
      </w:r>
      <w:proofErr w:type="spellEnd"/>
      <w:r w:rsidRPr="006B68F3">
        <w:rPr>
          <w:color w:val="222222"/>
          <w:spacing w:val="-2"/>
          <w:highlight w:val="white"/>
        </w:rPr>
        <w:t xml:space="preserve">) upon submitting their final manuscript files. You can access the </w:t>
      </w:r>
      <w:proofErr w:type="spellStart"/>
      <w:r w:rsidRPr="006B68F3">
        <w:rPr>
          <w:color w:val="222222"/>
          <w:spacing w:val="-2"/>
          <w:highlight w:val="white"/>
        </w:rPr>
        <w:t>eCF</w:t>
      </w:r>
      <w:proofErr w:type="spellEnd"/>
      <w:r w:rsidRPr="006B68F3">
        <w:rPr>
          <w:color w:val="222222"/>
          <w:spacing w:val="-2"/>
          <w:highlight w:val="white"/>
        </w:rPr>
        <w:t xml:space="preserve">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w:t>
      </w:r>
      <w:hyperlink r:id="rId23" w:history="1">
        <w:r w:rsidR="006B68F3" w:rsidRPr="006B68F3">
          <w:rPr>
            <w:rStyle w:val="aa"/>
            <w:spacing w:val="-2"/>
            <w:highlight w:val="white"/>
          </w:rPr>
          <w:t>https://www.ieee.org/publications/rights/index.html</w:t>
        </w:r>
      </w:hyperlink>
      <w:hyperlink r:id="rId24">
        <w:r w:rsidRPr="006B68F3">
          <w:rPr>
            <w:color w:val="1155CC"/>
            <w:spacing w:val="-2"/>
            <w:highlight w:val="white"/>
            <w:u w:val="single"/>
          </w:rPr>
          <w:t xml:space="preserve"> </w:t>
        </w:r>
      </w:hyperlink>
    </w:p>
    <w:p w14:paraId="5D6B1EFA" w14:textId="77777777" w:rsidR="00732E46" w:rsidRDefault="000F2C11" w:rsidP="00827FB8">
      <w:pPr>
        <w:pStyle w:val="1"/>
      </w:pPr>
      <w:r>
        <w:t>IEEE Guidelines and Policies</w:t>
      </w:r>
    </w:p>
    <w:p w14:paraId="71905707" w14:textId="400CA6B1" w:rsidR="00732E46" w:rsidRDefault="000F2C11" w:rsidP="007B62A7">
      <w:pPr>
        <w:widowControl w:val="0"/>
        <w:pBdr>
          <w:top w:val="nil"/>
          <w:left w:val="nil"/>
          <w:bottom w:val="nil"/>
          <w:right w:val="nil"/>
          <w:between w:val="nil"/>
        </w:pBdr>
        <w:spacing w:line="252" w:lineRule="auto"/>
        <w:ind w:firstLine="202"/>
        <w:jc w:val="both"/>
        <w:rPr>
          <w:color w:val="222222"/>
        </w:rPr>
      </w:pPr>
      <w:r>
        <w:rPr>
          <w:color w:val="222222"/>
          <w:highlight w:val="white"/>
        </w:rPr>
        <w:t xml:space="preserve">A full overview of IEEE publishing guidelines and policies can be found at </w:t>
      </w:r>
      <w:hyperlink r:id="rId25" w:history="1">
        <w:r w:rsidR="006F18B8" w:rsidRPr="006B7414">
          <w:rPr>
            <w:rStyle w:val="aa"/>
            <w:highlight w:val="white"/>
          </w:rPr>
          <w:t>https://journals.ieeeauthorcenter.ieee.org/</w:t>
        </w:r>
        <w:r w:rsidR="006F18B8" w:rsidRPr="006B7414">
          <w:rPr>
            <w:rStyle w:val="aa"/>
            <w:highlight w:val="white"/>
          </w:rPr>
          <w:br/>
          <w:t>become-an-ieee-journal-author/publishing-ethics/guidelines-and-policies/</w:t>
        </w:r>
      </w:hyperlink>
      <w:r>
        <w:rPr>
          <w:color w:val="222222"/>
          <w:highlight w:val="white"/>
        </w:rPr>
        <w:t xml:space="preserve">. They are designed to help authors understand and navigate the publishing process successfully. </w:t>
      </w:r>
      <w:r w:rsidR="00E45781">
        <w:rPr>
          <w:color w:val="222222"/>
          <w:highlight w:val="white"/>
        </w:rPr>
        <w:t>L</w:t>
      </w:r>
      <w:r>
        <w:rPr>
          <w:color w:val="222222"/>
          <w:highlight w:val="white"/>
        </w:rPr>
        <w:t>earn more about IEEE’s fundamental publishing guidelines and principles, submission and peer review policies, post-publication policies, and guidelines on advertising, accessibility, and data privacy.</w:t>
      </w:r>
    </w:p>
    <w:p w14:paraId="48F8D56C" w14:textId="77777777" w:rsidR="00D10AC8" w:rsidRDefault="00D10AC8" w:rsidP="00D10AC8">
      <w:pPr>
        <w:pStyle w:val="1"/>
      </w:pPr>
      <w:r>
        <w:t>Acknowledgment</w:t>
      </w:r>
    </w:p>
    <w:p w14:paraId="40639FDE" w14:textId="52830495" w:rsidR="00D10AC8" w:rsidRDefault="00D10AC8" w:rsidP="007B62A7">
      <w:pPr>
        <w:widowControl w:val="0"/>
        <w:pBdr>
          <w:top w:val="nil"/>
          <w:left w:val="nil"/>
          <w:bottom w:val="nil"/>
          <w:right w:val="nil"/>
          <w:between w:val="nil"/>
        </w:pBdr>
        <w:spacing w:line="252" w:lineRule="auto"/>
        <w:ind w:firstLine="202"/>
        <w:jc w:val="both"/>
        <w:rPr>
          <w:color w:val="000000"/>
        </w:rPr>
      </w:pPr>
      <w:r>
        <w:rPr>
          <w:color w:val="000000"/>
        </w:rPr>
        <w:t xml:space="preserve">The preferred spelling of the word “acknowledgment” in American English is without an “e” after the “g.” Use the singular heading even if you have many acknowledgments. Avoid expressions such as “One of us (S.B.A.) would like to thank </w:t>
      </w:r>
      <w:proofErr w:type="gramStart"/>
      <w:r>
        <w:rPr>
          <w:color w:val="000000"/>
        </w:rPr>
        <w:t>... .</w:t>
      </w:r>
      <w:proofErr w:type="gramEnd"/>
      <w:r>
        <w:rPr>
          <w:color w:val="000000"/>
        </w:rPr>
        <w:t xml:space="preserve">” Instead, write “F. A. Author thanks </w:t>
      </w:r>
      <w:proofErr w:type="gramStart"/>
      <w:r>
        <w:rPr>
          <w:color w:val="000000"/>
        </w:rPr>
        <w:t>... .</w:t>
      </w:r>
      <w:proofErr w:type="gramEnd"/>
      <w:r>
        <w:rPr>
          <w:color w:val="000000"/>
        </w:rPr>
        <w:t>” In most cases, sponsor and financial support acknowledgments are placed in the unnumbered footnote on the first page, not here.</w:t>
      </w:r>
    </w:p>
    <w:p w14:paraId="49678B33" w14:textId="77777777" w:rsidR="00732E46" w:rsidRDefault="000F2C11">
      <w:pPr>
        <w:keepNext/>
        <w:pBdr>
          <w:top w:val="nil"/>
          <w:left w:val="nil"/>
          <w:bottom w:val="nil"/>
          <w:right w:val="nil"/>
          <w:between w:val="nil"/>
        </w:pBdr>
        <w:spacing w:before="240" w:after="80"/>
        <w:jc w:val="center"/>
        <w:rPr>
          <w:color w:val="222222"/>
          <w:sz w:val="16"/>
          <w:szCs w:val="16"/>
        </w:rPr>
      </w:pPr>
      <w:r>
        <w:rPr>
          <w:smallCaps/>
          <w:color w:val="000000"/>
        </w:rPr>
        <w:t>References</w:t>
      </w:r>
    </w:p>
    <w:p w14:paraId="2453ED7C" w14:textId="77777777" w:rsidR="00732E46" w:rsidRDefault="000F2C11">
      <w:pPr>
        <w:rPr>
          <w:rFonts w:ascii="Times" w:eastAsia="Times" w:hAnsi="Times" w:cs="Times"/>
          <w:i/>
        </w:rPr>
      </w:pPr>
      <w:r>
        <w:rPr>
          <w:rFonts w:ascii="Times" w:eastAsia="Times" w:hAnsi="Times" w:cs="Times"/>
          <w:i/>
        </w:rPr>
        <w:t>Basic format for periodicals:</w:t>
      </w:r>
    </w:p>
    <w:p w14:paraId="42CA6C3D" w14:textId="7D09D7BB"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 xml:space="preserve">x, no. x, pp. xxx-xxx, Abbrev. Month, year, </w:t>
      </w:r>
      <w:proofErr w:type="spellStart"/>
      <w:r>
        <w:rPr>
          <w:sz w:val="16"/>
          <w:szCs w:val="16"/>
          <w:highlight w:val="white"/>
        </w:rPr>
        <w:t>doi</w:t>
      </w:r>
      <w:proofErr w:type="spellEnd"/>
      <w:r>
        <w:rPr>
          <w:sz w:val="16"/>
          <w:szCs w:val="16"/>
          <w:highlight w:val="white"/>
        </w:rPr>
        <w:t>: 10.1109.XXX.123456</w:t>
      </w:r>
      <w:r w:rsidR="001E7EDB">
        <w:rPr>
          <w:sz w:val="16"/>
          <w:szCs w:val="16"/>
          <w:highlight w:val="white"/>
        </w:rPr>
        <w:t>7</w:t>
      </w:r>
      <w:r>
        <w:rPr>
          <w:sz w:val="16"/>
          <w:szCs w:val="16"/>
          <w:highlight w:val="white"/>
        </w:rPr>
        <w:t>.</w:t>
      </w:r>
    </w:p>
    <w:p w14:paraId="75C35C47" w14:textId="77777777" w:rsidR="006B68F3" w:rsidRDefault="006B68F3" w:rsidP="00851B4D">
      <w:pPr>
        <w:spacing w:before="40"/>
        <w:rPr>
          <w:rFonts w:ascii="Times" w:eastAsia="Times" w:hAnsi="Times" w:cs="Times"/>
        </w:rPr>
      </w:pPr>
    </w:p>
    <w:p w14:paraId="6AA730DB" w14:textId="77777777" w:rsidR="00732E46" w:rsidRDefault="000F2C11">
      <w:pPr>
        <w:rPr>
          <w:rFonts w:ascii="Times" w:eastAsia="Times" w:hAnsi="Times" w:cs="Times"/>
          <w:i/>
        </w:rPr>
      </w:pPr>
      <w:r>
        <w:rPr>
          <w:rFonts w:ascii="Times" w:eastAsia="Times" w:hAnsi="Times" w:cs="Times"/>
          <w:i/>
        </w:rPr>
        <w:t>Periodicals using article numbers:</w:t>
      </w:r>
    </w:p>
    <w:p w14:paraId="2B0A3374" w14:textId="41B71D60"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 xml:space="preserve">x, no. x, Abbrev. Month, year, Art. no. </w:t>
      </w:r>
      <w:proofErr w:type="spellStart"/>
      <w:r>
        <w:rPr>
          <w:sz w:val="16"/>
          <w:szCs w:val="16"/>
          <w:highlight w:val="white"/>
        </w:rPr>
        <w:t>xxxxx</w:t>
      </w:r>
      <w:proofErr w:type="spellEnd"/>
      <w:r>
        <w:rPr>
          <w:sz w:val="16"/>
          <w:szCs w:val="16"/>
          <w:highlight w:val="white"/>
        </w:rPr>
        <w:t xml:space="preserve">, </w:t>
      </w:r>
      <w:proofErr w:type="spellStart"/>
      <w:r>
        <w:rPr>
          <w:sz w:val="16"/>
          <w:szCs w:val="16"/>
          <w:highlight w:val="white"/>
        </w:rPr>
        <w:t>doi</w:t>
      </w:r>
      <w:proofErr w:type="spellEnd"/>
      <w:r>
        <w:rPr>
          <w:sz w:val="16"/>
          <w:szCs w:val="16"/>
          <w:highlight w:val="white"/>
        </w:rPr>
        <w:t>: 10.1109.XXX.123456</w:t>
      </w:r>
      <w:r w:rsidR="001E7EDB">
        <w:rPr>
          <w:sz w:val="16"/>
          <w:szCs w:val="16"/>
          <w:highlight w:val="white"/>
        </w:rPr>
        <w:t>7</w:t>
      </w:r>
      <w:r>
        <w:rPr>
          <w:sz w:val="16"/>
          <w:szCs w:val="16"/>
          <w:highlight w:val="white"/>
        </w:rPr>
        <w:t>.</w:t>
      </w:r>
    </w:p>
    <w:p w14:paraId="4164A037" w14:textId="77777777" w:rsidR="00732E46" w:rsidRDefault="00732E46" w:rsidP="00851B4D">
      <w:pPr>
        <w:spacing w:before="60"/>
        <w:rPr>
          <w:rFonts w:ascii="Times" w:eastAsia="Times" w:hAnsi="Times" w:cs="Times"/>
        </w:rPr>
      </w:pPr>
    </w:p>
    <w:p w14:paraId="4C6324DD" w14:textId="77777777" w:rsidR="00732E46" w:rsidRDefault="000F2C11">
      <w:pPr>
        <w:rPr>
          <w:i/>
        </w:rPr>
      </w:pPr>
      <w:r>
        <w:rPr>
          <w:i/>
        </w:rPr>
        <w:t>Examples:</w:t>
      </w:r>
    </w:p>
    <w:p w14:paraId="128A05AF" w14:textId="0AF91FFB" w:rsidR="00732E46" w:rsidRPr="00D050EC" w:rsidRDefault="00932FBA" w:rsidP="00D050EC">
      <w:pPr>
        <w:numPr>
          <w:ilvl w:val="0"/>
          <w:numId w:val="1"/>
        </w:numPr>
        <w:ind w:left="270" w:hanging="270"/>
        <w:jc w:val="both"/>
        <w:rPr>
          <w:sz w:val="16"/>
          <w:szCs w:val="16"/>
        </w:rPr>
      </w:pPr>
      <w:r w:rsidRPr="00D050EC">
        <w:rPr>
          <w:sz w:val="16"/>
          <w:szCs w:val="16"/>
        </w:rPr>
        <w:t xml:space="preserve">J. U. Duncombe, “Infrared navigation—Part I: An assessment of feasibility,” </w:t>
      </w:r>
      <w:r w:rsidRPr="00D050EC">
        <w:rPr>
          <w:i/>
          <w:sz w:val="16"/>
          <w:szCs w:val="16"/>
        </w:rPr>
        <w:t>IEEE Trans. Electron Devices</w:t>
      </w:r>
      <w:r w:rsidRPr="00D050EC">
        <w:rPr>
          <w:sz w:val="16"/>
          <w:szCs w:val="16"/>
        </w:rPr>
        <w:t xml:space="preserve">, vol. ED-11, no. 1, pp. 34–39, Jan. 1959, </w:t>
      </w:r>
      <w:proofErr w:type="spellStart"/>
      <w:r w:rsidRPr="00D050EC">
        <w:rPr>
          <w:sz w:val="16"/>
          <w:szCs w:val="16"/>
        </w:rPr>
        <w:t>doi</w:t>
      </w:r>
      <w:proofErr w:type="spellEnd"/>
      <w:r w:rsidRPr="00D050EC">
        <w:rPr>
          <w:sz w:val="16"/>
          <w:szCs w:val="16"/>
        </w:rPr>
        <w:t xml:space="preserve">: </w:t>
      </w:r>
      <w:r w:rsidRPr="00D050EC">
        <w:rPr>
          <w:rFonts w:eastAsia="Times"/>
          <w:sz w:val="16"/>
          <w:szCs w:val="16"/>
        </w:rPr>
        <w:t>10.1109/TED.2016.2628402</w:t>
      </w:r>
      <w:r w:rsidR="000F2C11" w:rsidRPr="00D050EC">
        <w:rPr>
          <w:sz w:val="16"/>
          <w:szCs w:val="16"/>
        </w:rPr>
        <w:t>.</w:t>
      </w:r>
    </w:p>
    <w:p w14:paraId="5408C46B" w14:textId="77777777" w:rsidR="00732E46" w:rsidRDefault="000F2C11" w:rsidP="00EF6430">
      <w:pPr>
        <w:numPr>
          <w:ilvl w:val="0"/>
          <w:numId w:val="1"/>
        </w:numPr>
        <w:ind w:left="270" w:hanging="270"/>
        <w:jc w:val="both"/>
      </w:pPr>
      <w:r>
        <w:rPr>
          <w:sz w:val="16"/>
          <w:szCs w:val="16"/>
        </w:rPr>
        <w:t xml:space="preserve">E. P. Wigner, “Theory of traveling-wave optical laser,” </w:t>
      </w:r>
      <w:r>
        <w:rPr>
          <w:i/>
          <w:sz w:val="16"/>
          <w:szCs w:val="16"/>
        </w:rPr>
        <w:t>Phys. Rev</w:t>
      </w:r>
      <w:r>
        <w:rPr>
          <w:sz w:val="16"/>
          <w:szCs w:val="16"/>
        </w:rPr>
        <w:t>., vol. 134, pp. A635–A646, Dec. 1965.</w:t>
      </w:r>
    </w:p>
    <w:p w14:paraId="6F641F66" w14:textId="77777777" w:rsidR="00732E46" w:rsidRDefault="000F2C11" w:rsidP="00EF6430">
      <w:pPr>
        <w:numPr>
          <w:ilvl w:val="0"/>
          <w:numId w:val="1"/>
        </w:numPr>
        <w:ind w:left="270" w:hanging="270"/>
        <w:jc w:val="both"/>
      </w:pPr>
      <w:r>
        <w:rPr>
          <w:sz w:val="16"/>
          <w:szCs w:val="16"/>
        </w:rPr>
        <w:t xml:space="preserve">P. </w:t>
      </w:r>
      <w:proofErr w:type="spellStart"/>
      <w:r>
        <w:rPr>
          <w:sz w:val="16"/>
          <w:szCs w:val="16"/>
        </w:rPr>
        <w:t>Kopyt</w:t>
      </w:r>
      <w:proofErr w:type="spellEnd"/>
      <w:r>
        <w:rPr>
          <w:sz w:val="16"/>
          <w:szCs w:val="16"/>
        </w:rPr>
        <w:t xml:space="preserve"> </w:t>
      </w:r>
      <w:r>
        <w:rPr>
          <w:i/>
          <w:sz w:val="16"/>
          <w:szCs w:val="16"/>
        </w:rPr>
        <w:t>et al., “</w:t>
      </w:r>
      <w:r>
        <w:rPr>
          <w:sz w:val="16"/>
          <w:szCs w:val="16"/>
        </w:rPr>
        <w:t xml:space="preserve">Electric properties of graphene-based conductive layers from DC up to terahertz range,” </w:t>
      </w:r>
      <w:r>
        <w:rPr>
          <w:i/>
          <w:sz w:val="16"/>
          <w:szCs w:val="16"/>
        </w:rPr>
        <w:t xml:space="preserve">IEEE THz Sci. Technol., </w:t>
      </w:r>
      <w:r>
        <w:rPr>
          <w:sz w:val="16"/>
          <w:szCs w:val="16"/>
        </w:rPr>
        <w:t xml:space="preserve">to be published, </w:t>
      </w:r>
      <w:proofErr w:type="spellStart"/>
      <w:r>
        <w:rPr>
          <w:sz w:val="16"/>
          <w:szCs w:val="16"/>
        </w:rPr>
        <w:t>doi</w:t>
      </w:r>
      <w:proofErr w:type="spellEnd"/>
      <w:r>
        <w:rPr>
          <w:sz w:val="16"/>
          <w:szCs w:val="16"/>
        </w:rPr>
        <w:t xml:space="preserve">: 10.1109/TTHZ.2016.2544142. </w:t>
      </w:r>
      <w:r>
        <w:rPr>
          <w:i/>
          <w:sz w:val="16"/>
          <w:szCs w:val="16"/>
        </w:rPr>
        <w:t>(Note: If a paper is still to be published, but is available in early access, please follow ref [5]).)</w:t>
      </w:r>
    </w:p>
    <w:p w14:paraId="6F1586C9" w14:textId="77777777" w:rsidR="00732E46" w:rsidRDefault="000F2C11" w:rsidP="00EF6430">
      <w:pPr>
        <w:numPr>
          <w:ilvl w:val="0"/>
          <w:numId w:val="1"/>
        </w:numPr>
        <w:ind w:left="270" w:hanging="270"/>
        <w:jc w:val="both"/>
        <w:rPr>
          <w:sz w:val="16"/>
          <w:szCs w:val="16"/>
        </w:rPr>
      </w:pPr>
      <w:r>
        <w:rPr>
          <w:sz w:val="16"/>
          <w:szCs w:val="16"/>
        </w:rPr>
        <w:t xml:space="preserve">R. Fardel, M. Nagel, F. </w:t>
      </w:r>
      <w:proofErr w:type="spellStart"/>
      <w:r>
        <w:rPr>
          <w:sz w:val="16"/>
          <w:szCs w:val="16"/>
        </w:rPr>
        <w:t>Nuesch</w:t>
      </w:r>
      <w:proofErr w:type="spellEnd"/>
      <w:r>
        <w:rPr>
          <w:sz w:val="16"/>
          <w:szCs w:val="16"/>
        </w:rPr>
        <w:t xml:space="preserve">, T. Lippert, and A. </w:t>
      </w:r>
      <w:proofErr w:type="spellStart"/>
      <w:r>
        <w:rPr>
          <w:sz w:val="16"/>
          <w:szCs w:val="16"/>
        </w:rPr>
        <w:t>Wokaun</w:t>
      </w:r>
      <w:proofErr w:type="spellEnd"/>
      <w:r>
        <w:rPr>
          <w:sz w:val="16"/>
          <w:szCs w:val="16"/>
        </w:rPr>
        <w:t xml:space="preserve">, “Fabrication of organic light emitting diode pixels by laser-assisted forward transfer,” </w:t>
      </w:r>
      <w:r>
        <w:rPr>
          <w:i/>
          <w:sz w:val="16"/>
          <w:szCs w:val="16"/>
        </w:rPr>
        <w:t>Appl. Phys. Lett.</w:t>
      </w:r>
      <w:r>
        <w:rPr>
          <w:sz w:val="16"/>
          <w:szCs w:val="16"/>
        </w:rPr>
        <w:t>, vol. 91, no. 6, Aug. 2007, Art. no. 061103. </w:t>
      </w:r>
    </w:p>
    <w:p w14:paraId="27E0BB3E" w14:textId="7E8649CF" w:rsidR="00732E46" w:rsidRDefault="000F2C11" w:rsidP="00EF6430">
      <w:pPr>
        <w:numPr>
          <w:ilvl w:val="0"/>
          <w:numId w:val="1"/>
        </w:numPr>
        <w:ind w:left="270" w:hanging="270"/>
        <w:jc w:val="both"/>
        <w:rPr>
          <w:sz w:val="16"/>
          <w:szCs w:val="16"/>
        </w:rPr>
      </w:pPr>
      <w:r>
        <w:rPr>
          <w:sz w:val="16"/>
          <w:szCs w:val="16"/>
        </w:rPr>
        <w:t xml:space="preserve">D. </w:t>
      </w:r>
      <w:proofErr w:type="spellStart"/>
      <w:r>
        <w:rPr>
          <w:sz w:val="16"/>
          <w:szCs w:val="16"/>
        </w:rPr>
        <w:t>Comite</w:t>
      </w:r>
      <w:proofErr w:type="spellEnd"/>
      <w:r>
        <w:rPr>
          <w:sz w:val="16"/>
          <w:szCs w:val="16"/>
        </w:rPr>
        <w:t xml:space="preserve"> and N. </w:t>
      </w:r>
      <w:proofErr w:type="spellStart"/>
      <w:r>
        <w:rPr>
          <w:sz w:val="16"/>
          <w:szCs w:val="16"/>
        </w:rPr>
        <w:t>Pierdicca</w:t>
      </w:r>
      <w:proofErr w:type="spellEnd"/>
      <w:r>
        <w:rPr>
          <w:sz w:val="16"/>
          <w:szCs w:val="16"/>
        </w:rPr>
        <w:t xml:space="preserve">, "Decorrelation of the near-specular land scattering in bistatic radar systems,"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xml:space="preserve">, early access, </w:t>
      </w:r>
      <w:proofErr w:type="spellStart"/>
      <w:r>
        <w:rPr>
          <w:sz w:val="16"/>
          <w:szCs w:val="16"/>
        </w:rPr>
        <w:t>doi</w:t>
      </w:r>
      <w:proofErr w:type="spellEnd"/>
      <w:r>
        <w:rPr>
          <w:sz w:val="16"/>
          <w:szCs w:val="16"/>
        </w:rPr>
        <w:t>: 10.1109/TGRS.2021.3072864. (</w:t>
      </w:r>
      <w:r>
        <w:rPr>
          <w:i/>
          <w:sz w:val="16"/>
          <w:szCs w:val="16"/>
        </w:rPr>
        <w:t xml:space="preserve">Note: This format is used for articles in early access. The </w:t>
      </w:r>
      <w:proofErr w:type="spellStart"/>
      <w:r>
        <w:rPr>
          <w:i/>
          <w:sz w:val="16"/>
          <w:szCs w:val="16"/>
        </w:rPr>
        <w:t>doi</w:t>
      </w:r>
      <w:proofErr w:type="spellEnd"/>
      <w:r>
        <w:rPr>
          <w:i/>
          <w:sz w:val="16"/>
          <w:szCs w:val="16"/>
        </w:rPr>
        <w:t xml:space="preserve"> must be included.)</w:t>
      </w:r>
    </w:p>
    <w:p w14:paraId="737BF47D" w14:textId="1494FB6B" w:rsidR="00732E46" w:rsidRDefault="000F2C11" w:rsidP="00EF6430">
      <w:pPr>
        <w:numPr>
          <w:ilvl w:val="0"/>
          <w:numId w:val="1"/>
        </w:numPr>
        <w:ind w:left="270" w:hanging="270"/>
        <w:jc w:val="both"/>
        <w:rPr>
          <w:sz w:val="16"/>
          <w:szCs w:val="16"/>
        </w:rPr>
      </w:pPr>
      <w:r>
        <w:rPr>
          <w:sz w:val="16"/>
          <w:szCs w:val="16"/>
        </w:rPr>
        <w:t xml:space="preserve">H. V. Habi and H. Messer, "Recurrent neural network for rain estimation using commercial microwave links,"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vol. 59, no. 5, pp. 3672-3681, May 2021. [Online]. Available: https://ieeexplore.ieee.org/document/9153027</w:t>
      </w:r>
    </w:p>
    <w:p w14:paraId="755F5DBD" w14:textId="77777777" w:rsidR="00732E46" w:rsidRDefault="00732E46" w:rsidP="00851B4D">
      <w:pPr>
        <w:spacing w:before="60"/>
        <w:rPr>
          <w:rFonts w:ascii="Times" w:eastAsia="Times" w:hAnsi="Times" w:cs="Times"/>
          <w:i/>
        </w:rPr>
      </w:pPr>
    </w:p>
    <w:p w14:paraId="669BFF17" w14:textId="77777777" w:rsidR="00732E46" w:rsidRDefault="000F2C11">
      <w:pPr>
        <w:rPr>
          <w:rFonts w:ascii="Times" w:eastAsia="Times" w:hAnsi="Times" w:cs="Times"/>
          <w:i/>
        </w:rPr>
      </w:pPr>
      <w:r>
        <w:rPr>
          <w:rFonts w:ascii="Times" w:eastAsia="Times" w:hAnsi="Times" w:cs="Times"/>
          <w:i/>
        </w:rPr>
        <w:t>Basic format for books:</w:t>
      </w:r>
    </w:p>
    <w:p w14:paraId="0995F0B2" w14:textId="2D123922" w:rsidR="00732E46" w:rsidRDefault="000F2C11">
      <w:pPr>
        <w:rPr>
          <w:rFonts w:ascii="Times" w:eastAsia="Times" w:hAnsi="Times" w:cs="Times"/>
          <w:i/>
          <w:sz w:val="16"/>
          <w:szCs w:val="16"/>
        </w:rPr>
      </w:pPr>
      <w:r>
        <w:rPr>
          <w:sz w:val="16"/>
          <w:szCs w:val="16"/>
        </w:rPr>
        <w:lastRenderedPageBreak/>
        <w:t xml:space="preserve">J. K. Author, “Title of chapter in the book,” in </w:t>
      </w:r>
      <w:r>
        <w:rPr>
          <w:rFonts w:ascii="Times" w:eastAsia="Times" w:hAnsi="Times" w:cs="Times"/>
          <w:i/>
          <w:sz w:val="16"/>
          <w:szCs w:val="16"/>
        </w:rPr>
        <w:t xml:space="preserve">Title of Published Book, </w:t>
      </w:r>
      <w:proofErr w:type="spellStart"/>
      <w:r>
        <w:rPr>
          <w:rFonts w:ascii="Times" w:eastAsia="Times" w:hAnsi="Times" w:cs="Times"/>
          <w:i/>
          <w:sz w:val="16"/>
          <w:szCs w:val="16"/>
        </w:rPr>
        <w:t>x</w:t>
      </w:r>
      <w:r>
        <w:rPr>
          <w:sz w:val="16"/>
          <w:szCs w:val="16"/>
        </w:rPr>
        <w:t>th</w:t>
      </w:r>
      <w:proofErr w:type="spellEnd"/>
      <w:r>
        <w:rPr>
          <w:sz w:val="16"/>
          <w:szCs w:val="16"/>
        </w:rPr>
        <w:t xml:space="preserve"> ed. City of Publisher, (only U.S. State), Country: Abbrev. of Publisher, year, </w:t>
      </w:r>
      <w:proofErr w:type="spellStart"/>
      <w:r>
        <w:rPr>
          <w:sz w:val="16"/>
          <w:szCs w:val="16"/>
        </w:rPr>
        <w:t>ch.</w:t>
      </w:r>
      <w:proofErr w:type="spellEnd"/>
      <w:r>
        <w:rPr>
          <w:sz w:val="16"/>
          <w:szCs w:val="16"/>
        </w:rPr>
        <w:t xml:space="preserve"> </w:t>
      </w:r>
      <w:r w:rsidRPr="00EF6430">
        <w:rPr>
          <w:rFonts w:ascii="Times" w:eastAsia="Times" w:hAnsi="Times" w:cs="Times"/>
          <w:sz w:val="16"/>
          <w:szCs w:val="16"/>
        </w:rPr>
        <w:t>x</w:t>
      </w:r>
      <w:r>
        <w:rPr>
          <w:sz w:val="16"/>
          <w:szCs w:val="16"/>
        </w:rPr>
        <w:t xml:space="preserve">, sec. </w:t>
      </w:r>
      <w:r>
        <w:rPr>
          <w:rFonts w:ascii="Times" w:eastAsia="Times" w:hAnsi="Times" w:cs="Times"/>
          <w:i/>
          <w:sz w:val="16"/>
          <w:szCs w:val="16"/>
        </w:rPr>
        <w:t>x</w:t>
      </w:r>
      <w:r>
        <w:rPr>
          <w:sz w:val="16"/>
          <w:szCs w:val="16"/>
        </w:rPr>
        <w:t xml:space="preserve">, pp. </w:t>
      </w:r>
      <w:r w:rsidRPr="00EF6430">
        <w:rPr>
          <w:rFonts w:ascii="Times" w:eastAsia="Times" w:hAnsi="Times" w:cs="Times"/>
          <w:sz w:val="16"/>
          <w:szCs w:val="16"/>
        </w:rPr>
        <w:t>xxx–xxx</w:t>
      </w:r>
      <w:r>
        <w:rPr>
          <w:rFonts w:ascii="Times" w:eastAsia="Times" w:hAnsi="Times" w:cs="Times"/>
          <w:i/>
          <w:sz w:val="16"/>
          <w:szCs w:val="16"/>
        </w:rPr>
        <w:t>.</w:t>
      </w:r>
    </w:p>
    <w:p w14:paraId="69790BA7" w14:textId="77777777" w:rsidR="00EF6430" w:rsidRDefault="00EF6430" w:rsidP="00851B4D">
      <w:pPr>
        <w:spacing w:before="60"/>
        <w:rPr>
          <w:rFonts w:ascii="Times" w:eastAsia="Times" w:hAnsi="Times" w:cs="Times"/>
          <w:i/>
          <w:sz w:val="16"/>
          <w:szCs w:val="16"/>
        </w:rPr>
      </w:pPr>
    </w:p>
    <w:p w14:paraId="583FA040" w14:textId="77777777" w:rsidR="00732E46" w:rsidRDefault="000F2C11">
      <w:pPr>
        <w:widowControl w:val="0"/>
        <w:ind w:right="-20"/>
        <w:rPr>
          <w:color w:val="000000"/>
        </w:rPr>
      </w:pPr>
      <w:r>
        <w:rPr>
          <w:i/>
          <w:color w:val="000000"/>
        </w:rPr>
        <w:t>Examples:</w:t>
      </w:r>
    </w:p>
    <w:p w14:paraId="1BF38AF3" w14:textId="124C86B3" w:rsidR="00732E46" w:rsidRDefault="000F2C11" w:rsidP="00EF6430">
      <w:pPr>
        <w:numPr>
          <w:ilvl w:val="0"/>
          <w:numId w:val="1"/>
        </w:numPr>
        <w:pBdr>
          <w:top w:val="nil"/>
          <w:left w:val="nil"/>
          <w:bottom w:val="nil"/>
          <w:right w:val="nil"/>
          <w:between w:val="nil"/>
        </w:pBdr>
        <w:ind w:left="270" w:hanging="270"/>
        <w:jc w:val="both"/>
      </w:pPr>
      <w:r>
        <w:rPr>
          <w:color w:val="000000"/>
          <w:sz w:val="16"/>
          <w:szCs w:val="16"/>
        </w:rPr>
        <w:t xml:space="preserve">G. O. Young, “Synthetic structure of industrial plastics,” in </w:t>
      </w:r>
      <w:r>
        <w:rPr>
          <w:i/>
          <w:color w:val="000000"/>
          <w:sz w:val="16"/>
          <w:szCs w:val="16"/>
        </w:rPr>
        <w:t xml:space="preserve">Plastics, </w:t>
      </w:r>
      <w:r>
        <w:rPr>
          <w:color w:val="000000"/>
          <w:sz w:val="16"/>
          <w:szCs w:val="16"/>
        </w:rPr>
        <w:t>2nd ed., vol. 3, J. Peters, Ed. New York, NY, USA: McGraw-Hill, 1964, pp. 15–64.</w:t>
      </w:r>
    </w:p>
    <w:p w14:paraId="69263BA1" w14:textId="77777777" w:rsidR="00732E46" w:rsidRDefault="000F2C11" w:rsidP="00EF6430">
      <w:pPr>
        <w:numPr>
          <w:ilvl w:val="0"/>
          <w:numId w:val="1"/>
        </w:numPr>
        <w:pBdr>
          <w:top w:val="nil"/>
          <w:left w:val="nil"/>
          <w:bottom w:val="nil"/>
          <w:right w:val="nil"/>
          <w:between w:val="nil"/>
        </w:pBdr>
        <w:ind w:left="270" w:hanging="270"/>
        <w:jc w:val="both"/>
        <w:rPr>
          <w:color w:val="000000"/>
          <w:sz w:val="16"/>
          <w:szCs w:val="16"/>
        </w:rPr>
      </w:pPr>
      <w:r>
        <w:rPr>
          <w:color w:val="000000"/>
          <w:sz w:val="16"/>
          <w:szCs w:val="16"/>
        </w:rPr>
        <w:t xml:space="preserve">W.-K. Chen, </w:t>
      </w:r>
      <w:r>
        <w:rPr>
          <w:i/>
          <w:color w:val="000000"/>
          <w:sz w:val="16"/>
          <w:szCs w:val="16"/>
        </w:rPr>
        <w:t xml:space="preserve">Linear Networks and Systems. </w:t>
      </w:r>
      <w:r>
        <w:rPr>
          <w:color w:val="000000"/>
          <w:sz w:val="16"/>
          <w:szCs w:val="16"/>
        </w:rPr>
        <w:t>Belmont, CA, USA: Wadsworth, 1993, pp. 123–135.</w:t>
      </w:r>
    </w:p>
    <w:p w14:paraId="7ACA87E5" w14:textId="77777777" w:rsidR="00732E46" w:rsidRDefault="000F2C11" w:rsidP="00EF6430">
      <w:pPr>
        <w:numPr>
          <w:ilvl w:val="0"/>
          <w:numId w:val="1"/>
        </w:numPr>
        <w:ind w:left="270" w:hanging="270"/>
        <w:jc w:val="both"/>
      </w:pPr>
      <w:r>
        <w:rPr>
          <w:color w:val="191919"/>
          <w:sz w:val="16"/>
          <w:szCs w:val="16"/>
        </w:rPr>
        <w:t>Philip B. Kurla</w:t>
      </w:r>
      <w:r>
        <w:rPr>
          <w:sz w:val="16"/>
          <w:szCs w:val="16"/>
        </w:rPr>
        <w:t xml:space="preserve">nd and Ralph Lerner, eds., </w:t>
      </w:r>
      <w:r>
        <w:rPr>
          <w:i/>
          <w:sz w:val="16"/>
          <w:szCs w:val="16"/>
        </w:rPr>
        <w:t xml:space="preserve">The Founders’ Constitution. </w:t>
      </w:r>
      <w:r>
        <w:rPr>
          <w:sz w:val="16"/>
          <w:szCs w:val="16"/>
        </w:rPr>
        <w:t xml:space="preserve">Chicago, IL, USA: Univ. of Chicago Press, 1987, Accessed on: Feb. 28, 2010, [Online]. Available: http://press-pubs.uchicago.edu/founders/ </w:t>
      </w:r>
    </w:p>
    <w:p w14:paraId="46CC586C" w14:textId="77777777" w:rsidR="00732E46" w:rsidRDefault="00732E46" w:rsidP="00851B4D">
      <w:pPr>
        <w:spacing w:before="60"/>
        <w:rPr>
          <w:rFonts w:ascii="Times" w:eastAsia="Times" w:hAnsi="Times" w:cs="Times"/>
          <w:i/>
        </w:rPr>
      </w:pPr>
    </w:p>
    <w:p w14:paraId="2869075E" w14:textId="77777777" w:rsidR="00732E46" w:rsidRDefault="000F2C11">
      <w:pPr>
        <w:rPr>
          <w:rFonts w:ascii="Times" w:eastAsia="Times" w:hAnsi="Times" w:cs="Times"/>
          <w:i/>
        </w:rPr>
      </w:pPr>
      <w:r>
        <w:rPr>
          <w:rFonts w:ascii="Times" w:eastAsia="Times" w:hAnsi="Times" w:cs="Times"/>
          <w:i/>
        </w:rPr>
        <w:t>Basic format for handbooks:</w:t>
      </w:r>
    </w:p>
    <w:p w14:paraId="604C7CB6" w14:textId="5333006E" w:rsidR="00732E46" w:rsidRDefault="000F2C11">
      <w:pPr>
        <w:rPr>
          <w:sz w:val="16"/>
          <w:szCs w:val="16"/>
        </w:rPr>
      </w:pPr>
      <w:r>
        <w:rPr>
          <w:i/>
          <w:sz w:val="16"/>
          <w:szCs w:val="16"/>
        </w:rPr>
        <w:t>Name of Manual/Handbook, x</w:t>
      </w:r>
      <w:r>
        <w:rPr>
          <w:sz w:val="16"/>
          <w:szCs w:val="16"/>
        </w:rPr>
        <w:t xml:space="preserve"> ed., Abbrev. Name of Co., City of Co., Abbrev. State, Country, year, pp. xxx-xxx.</w:t>
      </w:r>
    </w:p>
    <w:p w14:paraId="7A4564A5" w14:textId="77777777" w:rsidR="00EF6430" w:rsidRDefault="00EF6430" w:rsidP="00851B4D">
      <w:pPr>
        <w:spacing w:before="60"/>
        <w:rPr>
          <w:sz w:val="16"/>
          <w:szCs w:val="16"/>
        </w:rPr>
      </w:pPr>
    </w:p>
    <w:p w14:paraId="71592A9B" w14:textId="77777777" w:rsidR="00732E46" w:rsidRDefault="000F2C11">
      <w:pPr>
        <w:rPr>
          <w:rFonts w:ascii="Times" w:eastAsia="Times" w:hAnsi="Times" w:cs="Times"/>
          <w:i/>
        </w:rPr>
      </w:pPr>
      <w:r>
        <w:rPr>
          <w:rFonts w:ascii="Times" w:eastAsia="Times" w:hAnsi="Times" w:cs="Times"/>
          <w:i/>
        </w:rPr>
        <w:t>Examples:</w:t>
      </w:r>
    </w:p>
    <w:p w14:paraId="04C46A02" w14:textId="77777777" w:rsidR="00732E46" w:rsidRDefault="000F2C11" w:rsidP="00EF6430">
      <w:pPr>
        <w:numPr>
          <w:ilvl w:val="0"/>
          <w:numId w:val="1"/>
        </w:numPr>
        <w:ind w:left="360"/>
        <w:jc w:val="both"/>
      </w:pPr>
      <w:r>
        <w:rPr>
          <w:rFonts w:ascii="Times" w:eastAsia="Times" w:hAnsi="Times" w:cs="Times"/>
          <w:i/>
          <w:sz w:val="16"/>
          <w:szCs w:val="16"/>
        </w:rPr>
        <w:t>Transmission Systems for Communications</w:t>
      </w:r>
      <w:r>
        <w:rPr>
          <w:sz w:val="16"/>
          <w:szCs w:val="16"/>
        </w:rPr>
        <w:t>, 3rd ed., Western Electric Co., Winston-Salem, NC, USA, 1985, pp. 44–60.</w:t>
      </w:r>
    </w:p>
    <w:p w14:paraId="7E237F34" w14:textId="77777777" w:rsidR="00732E46" w:rsidRDefault="000F2C11" w:rsidP="00EF6430">
      <w:pPr>
        <w:numPr>
          <w:ilvl w:val="0"/>
          <w:numId w:val="1"/>
        </w:numPr>
        <w:ind w:left="360"/>
        <w:jc w:val="both"/>
      </w:pPr>
      <w:r>
        <w:rPr>
          <w:rFonts w:ascii="Times" w:eastAsia="Times" w:hAnsi="Times" w:cs="Times"/>
          <w:i/>
          <w:sz w:val="16"/>
          <w:szCs w:val="16"/>
        </w:rPr>
        <w:t>Motorola Semiconductor Data Manual</w:t>
      </w:r>
      <w:r>
        <w:rPr>
          <w:sz w:val="16"/>
          <w:szCs w:val="16"/>
        </w:rPr>
        <w:t>, Motorola Semiconductor Products Inc., Phoenix, AZ, USA, 1989.</w:t>
      </w:r>
    </w:p>
    <w:p w14:paraId="32D3DBBD" w14:textId="77777777" w:rsidR="00732E46" w:rsidRDefault="000F2C11" w:rsidP="00EF6430">
      <w:pPr>
        <w:numPr>
          <w:ilvl w:val="0"/>
          <w:numId w:val="1"/>
        </w:numPr>
        <w:ind w:left="360"/>
        <w:jc w:val="both"/>
        <w:rPr>
          <w:sz w:val="16"/>
          <w:szCs w:val="16"/>
        </w:rPr>
      </w:pPr>
      <w:r>
        <w:rPr>
          <w:sz w:val="16"/>
          <w:szCs w:val="16"/>
        </w:rPr>
        <w:t xml:space="preserve">R. J. </w:t>
      </w:r>
      <w:proofErr w:type="spellStart"/>
      <w:r>
        <w:rPr>
          <w:sz w:val="16"/>
          <w:szCs w:val="16"/>
        </w:rPr>
        <w:t>Hijmans</w:t>
      </w:r>
      <w:proofErr w:type="spellEnd"/>
      <w:r>
        <w:rPr>
          <w:sz w:val="16"/>
          <w:szCs w:val="16"/>
        </w:rPr>
        <w:t xml:space="preserve"> and J. van Etten, “Raster: Geographic analysis and modeling with raster data,” R Package Version 2.0-12, Jan. 12, 2012. [Online]. Available: </w:t>
      </w:r>
      <w:r>
        <w:rPr>
          <w:sz w:val="16"/>
          <w:szCs w:val="16"/>
          <w:u w:val="single"/>
        </w:rPr>
        <w:t xml:space="preserve">http://CRAN.R-project.org/package=raster </w:t>
      </w:r>
    </w:p>
    <w:p w14:paraId="04A1A03B" w14:textId="77777777" w:rsidR="00732E46" w:rsidRDefault="00732E46" w:rsidP="00851B4D">
      <w:pPr>
        <w:spacing w:before="40"/>
        <w:rPr>
          <w:rFonts w:ascii="Times" w:eastAsia="Times" w:hAnsi="Times" w:cs="Times"/>
          <w:i/>
        </w:rPr>
      </w:pPr>
    </w:p>
    <w:p w14:paraId="478C9E3F" w14:textId="77777777" w:rsidR="00732E46" w:rsidRDefault="000F2C11">
      <w:pPr>
        <w:rPr>
          <w:rFonts w:ascii="Times" w:eastAsia="Times" w:hAnsi="Times" w:cs="Times"/>
          <w:i/>
        </w:rPr>
      </w:pPr>
      <w:r>
        <w:rPr>
          <w:rFonts w:ascii="Times" w:eastAsia="Times" w:hAnsi="Times" w:cs="Times"/>
          <w:i/>
        </w:rPr>
        <w:t>Basic format for reports:</w:t>
      </w:r>
    </w:p>
    <w:p w14:paraId="789FB42B" w14:textId="66A46AC7" w:rsidR="00732E46" w:rsidRDefault="000F2C11">
      <w:pPr>
        <w:rPr>
          <w:sz w:val="16"/>
          <w:szCs w:val="16"/>
        </w:rPr>
      </w:pPr>
      <w:r>
        <w:rPr>
          <w:sz w:val="16"/>
          <w:szCs w:val="16"/>
        </w:rPr>
        <w:t xml:space="preserve">J. K. Author, “Title of report,” Abbrev. Name of Co., City of Co., Abbrev. State, Country, Rep. </w:t>
      </w:r>
      <w:r w:rsidRPr="00EF6430">
        <w:rPr>
          <w:sz w:val="16"/>
          <w:szCs w:val="16"/>
        </w:rPr>
        <w:t>xxx</w:t>
      </w:r>
      <w:r>
        <w:rPr>
          <w:sz w:val="16"/>
          <w:szCs w:val="16"/>
        </w:rPr>
        <w:t>, year.</w:t>
      </w:r>
    </w:p>
    <w:p w14:paraId="4CA146EF" w14:textId="77777777" w:rsidR="00EF6430" w:rsidRDefault="00EF6430">
      <w:pPr>
        <w:rPr>
          <w:sz w:val="16"/>
          <w:szCs w:val="16"/>
        </w:rPr>
      </w:pPr>
    </w:p>
    <w:p w14:paraId="21CFDB4C" w14:textId="77777777" w:rsidR="00732E46" w:rsidRDefault="000F2C11">
      <w:pPr>
        <w:rPr>
          <w:rFonts w:ascii="Times" w:eastAsia="Times" w:hAnsi="Times" w:cs="Times"/>
          <w:i/>
        </w:rPr>
      </w:pPr>
      <w:r>
        <w:rPr>
          <w:rFonts w:ascii="Times" w:eastAsia="Times" w:hAnsi="Times" w:cs="Times"/>
          <w:i/>
        </w:rPr>
        <w:t>Example:</w:t>
      </w:r>
    </w:p>
    <w:p w14:paraId="3E1CA7E2"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E. E. Reber, R. L. Michell, and C. J. Carter, “Oxygen absorption in the earth’s atmosphere,” Aerospace Corp., Los Angeles, CA, USA, Tech. Rep. TR-0200 (4230-46)-3, Nov. 1988.</w:t>
      </w:r>
    </w:p>
    <w:p w14:paraId="6C61688F" w14:textId="77777777" w:rsidR="00732E46" w:rsidRDefault="00732E46">
      <w:pPr>
        <w:widowControl w:val="0"/>
        <w:spacing w:line="239" w:lineRule="auto"/>
        <w:ind w:right="-54"/>
        <w:jc w:val="both"/>
        <w:rPr>
          <w:i/>
          <w:color w:val="000000"/>
        </w:rPr>
      </w:pPr>
    </w:p>
    <w:p w14:paraId="6FF51F85" w14:textId="77777777" w:rsidR="00732E46" w:rsidRDefault="000F2C11">
      <w:pPr>
        <w:widowControl w:val="0"/>
        <w:ind w:right="-20"/>
      </w:pPr>
      <w:r>
        <w:rPr>
          <w:rFonts w:ascii="Times" w:eastAsia="Times" w:hAnsi="Times" w:cs="Times"/>
          <w:i/>
        </w:rPr>
        <w:t>Basic format</w:t>
      </w:r>
      <w:r>
        <w:rPr>
          <w:i/>
        </w:rPr>
        <w:t xml:space="preserve"> for conference proceedings:</w:t>
      </w:r>
    </w:p>
    <w:p w14:paraId="29C72EF9" w14:textId="622B1537" w:rsidR="00732E46" w:rsidRDefault="000F2C11">
      <w:pPr>
        <w:rPr>
          <w:i/>
          <w:sz w:val="16"/>
          <w:szCs w:val="16"/>
        </w:rPr>
      </w:pPr>
      <w:r>
        <w:rPr>
          <w:sz w:val="16"/>
          <w:szCs w:val="16"/>
        </w:rPr>
        <w:t xml:space="preserve">J. K. Author, “Title of paper,” in </w:t>
      </w:r>
      <w:r>
        <w:rPr>
          <w:i/>
          <w:sz w:val="16"/>
          <w:szCs w:val="16"/>
        </w:rPr>
        <w:t>Abbreviated Name of Conf.</w:t>
      </w:r>
      <w:r>
        <w:rPr>
          <w:sz w:val="16"/>
          <w:szCs w:val="16"/>
        </w:rPr>
        <w:t xml:space="preserve">, City of Conf., Abbrev. State (if given), Country, year, pp. </w:t>
      </w:r>
      <w:proofErr w:type="spellStart"/>
      <w:r w:rsidRPr="00EF6430">
        <w:rPr>
          <w:sz w:val="16"/>
          <w:szCs w:val="16"/>
        </w:rPr>
        <w:t>xxxxxx</w:t>
      </w:r>
      <w:proofErr w:type="spellEnd"/>
      <w:r>
        <w:rPr>
          <w:i/>
          <w:sz w:val="16"/>
          <w:szCs w:val="16"/>
        </w:rPr>
        <w:t>.</w:t>
      </w:r>
    </w:p>
    <w:p w14:paraId="29D9C961" w14:textId="77777777" w:rsidR="00EF6430" w:rsidRDefault="00EF6430">
      <w:pPr>
        <w:rPr>
          <w:i/>
          <w:sz w:val="16"/>
          <w:szCs w:val="16"/>
        </w:rPr>
      </w:pPr>
    </w:p>
    <w:p w14:paraId="5961D176" w14:textId="77777777" w:rsidR="00732E46" w:rsidRDefault="000F2C11">
      <w:pPr>
        <w:rPr>
          <w:rFonts w:ascii="Times" w:eastAsia="Times" w:hAnsi="Times" w:cs="Times"/>
          <w:i/>
        </w:rPr>
      </w:pPr>
      <w:r>
        <w:rPr>
          <w:rFonts w:ascii="Times" w:eastAsia="Times" w:hAnsi="Times" w:cs="Times"/>
          <w:i/>
        </w:rPr>
        <w:t>Examples:</w:t>
      </w:r>
    </w:p>
    <w:p w14:paraId="18AD6EE4" w14:textId="2F269403" w:rsidR="00732E46" w:rsidRDefault="000F2C11" w:rsidP="00EF6430">
      <w:pPr>
        <w:numPr>
          <w:ilvl w:val="0"/>
          <w:numId w:val="1"/>
        </w:numPr>
        <w:ind w:left="360"/>
        <w:jc w:val="both"/>
      </w:pPr>
      <w:r>
        <w:rPr>
          <w:sz w:val="16"/>
          <w:szCs w:val="16"/>
        </w:rPr>
        <w:t xml:space="preserve">D. B. Payne and J. R. Stern, “Wavelength-switched passively coupled single-mode optical network,” in </w:t>
      </w:r>
      <w:r>
        <w:rPr>
          <w:i/>
          <w:sz w:val="16"/>
          <w:szCs w:val="16"/>
        </w:rPr>
        <w:t xml:space="preserve">Proc. IOOC-ECOC, </w:t>
      </w:r>
      <w:r>
        <w:rPr>
          <w:sz w:val="16"/>
          <w:szCs w:val="16"/>
        </w:rPr>
        <w:t>Boston, MA, USA,</w:t>
      </w:r>
      <w:r>
        <w:rPr>
          <w:i/>
          <w:sz w:val="16"/>
          <w:szCs w:val="16"/>
        </w:rPr>
        <w:t xml:space="preserve"> </w:t>
      </w:r>
      <w:r>
        <w:rPr>
          <w:sz w:val="16"/>
          <w:szCs w:val="16"/>
        </w:rPr>
        <w:t>1985, pp. 585–590.</w:t>
      </w:r>
    </w:p>
    <w:p w14:paraId="5083DE32" w14:textId="77777777" w:rsidR="00732E46" w:rsidRDefault="000F2C11" w:rsidP="00EF6430">
      <w:pPr>
        <w:numPr>
          <w:ilvl w:val="0"/>
          <w:numId w:val="1"/>
        </w:numPr>
        <w:ind w:left="360"/>
        <w:jc w:val="both"/>
      </w:pPr>
      <w:r>
        <w:rPr>
          <w:sz w:val="16"/>
          <w:szCs w:val="16"/>
        </w:rPr>
        <w:t xml:space="preserve">D. </w:t>
      </w:r>
      <w:proofErr w:type="spellStart"/>
      <w:r>
        <w:rPr>
          <w:sz w:val="16"/>
          <w:szCs w:val="16"/>
        </w:rPr>
        <w:t>Ebehard</w:t>
      </w:r>
      <w:proofErr w:type="spellEnd"/>
      <w:r>
        <w:rPr>
          <w:sz w:val="16"/>
          <w:szCs w:val="16"/>
        </w:rPr>
        <w:t xml:space="preserve"> and E. Voges, “Digital single sideband detection for interferometric sensors,” presented at the 2nd Int. Conf. Optical Fiber Sensors</w:t>
      </w:r>
      <w:r>
        <w:rPr>
          <w:i/>
          <w:sz w:val="16"/>
          <w:szCs w:val="16"/>
        </w:rPr>
        <w:t xml:space="preserve">, </w:t>
      </w:r>
      <w:r>
        <w:rPr>
          <w:sz w:val="16"/>
          <w:szCs w:val="16"/>
        </w:rPr>
        <w:t>Stuttgart, Germany, Jan. 2-5, 1984.</w:t>
      </w:r>
    </w:p>
    <w:p w14:paraId="6DEFF4EF" w14:textId="1CD84271" w:rsidR="00732E46" w:rsidRDefault="000F2C11" w:rsidP="00851B4D">
      <w:pPr>
        <w:numPr>
          <w:ilvl w:val="0"/>
          <w:numId w:val="1"/>
        </w:numPr>
        <w:pBdr>
          <w:top w:val="nil"/>
          <w:left w:val="nil"/>
          <w:bottom w:val="nil"/>
          <w:right w:val="nil"/>
          <w:between w:val="nil"/>
        </w:pBdr>
        <w:ind w:left="360"/>
        <w:jc w:val="both"/>
      </w:pPr>
      <w:r>
        <w:rPr>
          <w:color w:val="000000"/>
          <w:sz w:val="16"/>
          <w:szCs w:val="16"/>
        </w:rPr>
        <w:t>PROCESS Corporation, Boston, MA, USA. Intranets: Internet technologies deployed behind the firewall for corporate productivity. Presented at INET96 Annual Meeting. [Online]. Available:  http://home.process.com/Intranets/wp2.htp</w:t>
      </w:r>
    </w:p>
    <w:p w14:paraId="29946DAF" w14:textId="77777777" w:rsidR="00732E46" w:rsidRDefault="00732E46">
      <w:pPr>
        <w:widowControl w:val="0"/>
        <w:spacing w:before="1" w:line="180" w:lineRule="auto"/>
        <w:rPr>
          <w:color w:val="000000"/>
          <w:sz w:val="18"/>
          <w:szCs w:val="18"/>
        </w:rPr>
      </w:pPr>
    </w:p>
    <w:p w14:paraId="5211F0F4" w14:textId="77777777" w:rsidR="00732E46" w:rsidRDefault="000F2C11">
      <w:pPr>
        <w:widowControl w:val="0"/>
        <w:spacing w:line="239" w:lineRule="auto"/>
        <w:ind w:left="90" w:right="-54" w:hanging="90"/>
        <w:rPr>
          <w:i/>
          <w:color w:val="000000"/>
        </w:rPr>
      </w:pPr>
      <w:r>
        <w:rPr>
          <w:i/>
          <w:color w:val="000000"/>
        </w:rPr>
        <w:t xml:space="preserve">Basic format for electronic documents (when available online): </w:t>
      </w:r>
    </w:p>
    <w:p w14:paraId="1555B2C2" w14:textId="230F6562" w:rsidR="00732E46" w:rsidRDefault="000F2C11">
      <w:pPr>
        <w:pBdr>
          <w:top w:val="nil"/>
          <w:left w:val="nil"/>
          <w:bottom w:val="nil"/>
          <w:right w:val="nil"/>
          <w:between w:val="nil"/>
        </w:pBdr>
        <w:jc w:val="both"/>
        <w:rPr>
          <w:sz w:val="16"/>
          <w:szCs w:val="16"/>
        </w:rPr>
      </w:pPr>
      <w:r>
        <w:rPr>
          <w:sz w:val="16"/>
          <w:szCs w:val="16"/>
        </w:rPr>
        <w:t xml:space="preserve">Issuing Organization. (year, month day). </w:t>
      </w:r>
      <w:r>
        <w:rPr>
          <w:i/>
          <w:sz w:val="16"/>
          <w:szCs w:val="16"/>
        </w:rPr>
        <w:t>Title</w:t>
      </w:r>
      <w:r>
        <w:rPr>
          <w:sz w:val="16"/>
          <w:szCs w:val="16"/>
        </w:rPr>
        <w:t>. [Type of medium]. Available: site/path/file</w:t>
      </w:r>
    </w:p>
    <w:p w14:paraId="20B11D98" w14:textId="77777777" w:rsidR="00EF6430" w:rsidRDefault="00EF6430">
      <w:pPr>
        <w:pBdr>
          <w:top w:val="nil"/>
          <w:left w:val="nil"/>
          <w:bottom w:val="nil"/>
          <w:right w:val="nil"/>
          <w:between w:val="nil"/>
        </w:pBdr>
        <w:jc w:val="both"/>
        <w:rPr>
          <w:sz w:val="16"/>
          <w:szCs w:val="16"/>
        </w:rPr>
      </w:pPr>
    </w:p>
    <w:p w14:paraId="13B78875" w14:textId="77777777" w:rsidR="00732E46" w:rsidRDefault="000F2C11">
      <w:pPr>
        <w:widowControl w:val="0"/>
        <w:spacing w:before="37"/>
        <w:ind w:right="-20"/>
        <w:rPr>
          <w:color w:val="000000"/>
        </w:rPr>
      </w:pPr>
      <w:r>
        <w:rPr>
          <w:i/>
          <w:color w:val="000000"/>
        </w:rPr>
        <w:t>Example:</w:t>
      </w:r>
    </w:p>
    <w:p w14:paraId="02FAAB07"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 xml:space="preserve">U.S. House. 102nd Congress, 1st Session. (1991, Jan. 11). </w:t>
      </w:r>
      <w:r>
        <w:rPr>
          <w:i/>
          <w:color w:val="000000"/>
          <w:sz w:val="16"/>
          <w:szCs w:val="16"/>
        </w:rPr>
        <w:t>H. Con. Res. 1, Sense of the Congress on Approval of Military Action</w:t>
      </w:r>
      <w:r>
        <w:rPr>
          <w:color w:val="000000"/>
          <w:sz w:val="16"/>
          <w:szCs w:val="16"/>
        </w:rPr>
        <w:t xml:space="preserve">. [Online]. Available: LEXIS Library: GENFED File: BILLS </w:t>
      </w:r>
    </w:p>
    <w:p w14:paraId="657FD9B2" w14:textId="77777777" w:rsidR="00732E46" w:rsidRDefault="000F2C11">
      <w:pPr>
        <w:pBdr>
          <w:top w:val="nil"/>
          <w:left w:val="nil"/>
          <w:bottom w:val="nil"/>
          <w:right w:val="nil"/>
          <w:between w:val="nil"/>
        </w:pBdr>
        <w:ind w:left="1170" w:hanging="360"/>
        <w:jc w:val="both"/>
        <w:rPr>
          <w:color w:val="000000"/>
          <w:sz w:val="16"/>
          <w:szCs w:val="16"/>
        </w:rPr>
      </w:pPr>
      <w:r>
        <w:rPr>
          <w:color w:val="000000"/>
          <w:sz w:val="16"/>
          <w:szCs w:val="16"/>
        </w:rPr>
        <w:t xml:space="preserve"> </w:t>
      </w:r>
    </w:p>
    <w:p w14:paraId="74CF7DAB" w14:textId="77777777" w:rsidR="00732E46" w:rsidRDefault="000F2C11" w:rsidP="00932FBA">
      <w:pPr>
        <w:keepLines/>
        <w:rPr>
          <w:rFonts w:ascii="Times" w:eastAsia="Times" w:hAnsi="Times" w:cs="Times"/>
          <w:i/>
        </w:rPr>
      </w:pPr>
      <w:r>
        <w:rPr>
          <w:rFonts w:ascii="Times" w:eastAsia="Times" w:hAnsi="Times" w:cs="Times"/>
          <w:i/>
        </w:rPr>
        <w:t>Basic format</w:t>
      </w:r>
      <w:r>
        <w:rPr>
          <w:i/>
          <w:color w:val="000000"/>
        </w:rPr>
        <w:t xml:space="preserve"> for patents</w:t>
      </w:r>
      <w:r>
        <w:rPr>
          <w:rFonts w:ascii="Times" w:eastAsia="Times" w:hAnsi="Times" w:cs="Times"/>
          <w:i/>
        </w:rPr>
        <w:t>:</w:t>
      </w:r>
    </w:p>
    <w:p w14:paraId="57151190" w14:textId="45C92483" w:rsidR="00732E46" w:rsidRPr="00C04F49" w:rsidRDefault="000F2C11" w:rsidP="00932FBA">
      <w:pPr>
        <w:keepLines/>
        <w:rPr>
          <w:spacing w:val="-2"/>
          <w:sz w:val="16"/>
          <w:szCs w:val="16"/>
        </w:rPr>
      </w:pPr>
      <w:r w:rsidRPr="00C04F49">
        <w:rPr>
          <w:spacing w:val="-2"/>
          <w:sz w:val="16"/>
          <w:szCs w:val="16"/>
        </w:rPr>
        <w:t xml:space="preserve">J. K. Author, “Title of patent,” U.S. Patent </w:t>
      </w:r>
      <w:r w:rsidRPr="00C04F49">
        <w:rPr>
          <w:i/>
          <w:spacing w:val="-2"/>
          <w:sz w:val="16"/>
          <w:szCs w:val="16"/>
        </w:rPr>
        <w:t xml:space="preserve">x xxx </w:t>
      </w:r>
      <w:proofErr w:type="spellStart"/>
      <w:r w:rsidRPr="00C04F49">
        <w:rPr>
          <w:i/>
          <w:spacing w:val="-2"/>
          <w:sz w:val="16"/>
          <w:szCs w:val="16"/>
        </w:rPr>
        <w:t>xxx</w:t>
      </w:r>
      <w:proofErr w:type="spellEnd"/>
      <w:r w:rsidRPr="00C04F49">
        <w:rPr>
          <w:spacing w:val="-2"/>
          <w:sz w:val="16"/>
          <w:szCs w:val="16"/>
        </w:rPr>
        <w:t>, Abbrev. Month, day, year.</w:t>
      </w:r>
    </w:p>
    <w:p w14:paraId="508A9CB1" w14:textId="77777777" w:rsidR="00EF6430" w:rsidRDefault="00EF6430" w:rsidP="00932FBA">
      <w:pPr>
        <w:keepLines/>
        <w:rPr>
          <w:sz w:val="16"/>
          <w:szCs w:val="16"/>
        </w:rPr>
      </w:pPr>
    </w:p>
    <w:p w14:paraId="5E4FB8AC" w14:textId="30D18778" w:rsidR="00732E46" w:rsidRDefault="000F2C11">
      <w:pPr>
        <w:widowControl w:val="0"/>
        <w:ind w:right="-20"/>
        <w:rPr>
          <w:i/>
          <w:color w:val="000000"/>
        </w:rPr>
      </w:pPr>
      <w:r>
        <w:rPr>
          <w:i/>
        </w:rPr>
        <w:t>Example:</w:t>
      </w:r>
    </w:p>
    <w:p w14:paraId="336C85E3" w14:textId="2F79B27B" w:rsidR="00732E46" w:rsidRDefault="000F2C11" w:rsidP="00EF6430">
      <w:pPr>
        <w:numPr>
          <w:ilvl w:val="0"/>
          <w:numId w:val="1"/>
        </w:numPr>
        <w:pBdr>
          <w:top w:val="nil"/>
          <w:left w:val="nil"/>
          <w:bottom w:val="nil"/>
          <w:right w:val="nil"/>
          <w:between w:val="nil"/>
        </w:pBdr>
        <w:ind w:left="360"/>
        <w:jc w:val="both"/>
      </w:pPr>
      <w:r>
        <w:rPr>
          <w:color w:val="000000"/>
          <w:sz w:val="16"/>
          <w:szCs w:val="16"/>
        </w:rPr>
        <w:t>G. Brandli and M. Dick, “Alternating current fed power supply,” U.S. Patent 4 084 217, Nov. 4, 1978.</w:t>
      </w:r>
    </w:p>
    <w:p w14:paraId="164BDCB3" w14:textId="77777777" w:rsidR="00851B4D" w:rsidRDefault="00851B4D">
      <w:pPr>
        <w:rPr>
          <w:rFonts w:eastAsia="Times"/>
          <w:i/>
        </w:rPr>
      </w:pPr>
    </w:p>
    <w:p w14:paraId="6559226A" w14:textId="7DB14FB5" w:rsidR="00732E46" w:rsidRPr="00D050EC" w:rsidRDefault="000F2C11">
      <w:pPr>
        <w:rPr>
          <w:rFonts w:eastAsia="Times"/>
          <w:i/>
        </w:rPr>
      </w:pPr>
      <w:r w:rsidRPr="00D050EC">
        <w:rPr>
          <w:rFonts w:eastAsia="Times"/>
          <w:i/>
        </w:rPr>
        <w:t>Basic format</w:t>
      </w:r>
      <w:r w:rsidRPr="008856C3">
        <w:rPr>
          <w:b/>
          <w:i/>
        </w:rPr>
        <w:t xml:space="preserve"> </w:t>
      </w:r>
      <w:r w:rsidRPr="00636D0A">
        <w:rPr>
          <w:i/>
        </w:rPr>
        <w:t>for theses (M.S.) and dissertations (Ph.D.):</w:t>
      </w:r>
    </w:p>
    <w:p w14:paraId="278A2B41" w14:textId="69FBE5BB" w:rsidR="00732E46" w:rsidRDefault="000F2C11">
      <w:pPr>
        <w:rPr>
          <w:sz w:val="16"/>
          <w:szCs w:val="16"/>
        </w:rPr>
      </w:pPr>
      <w:r>
        <w:rPr>
          <w:sz w:val="16"/>
          <w:szCs w:val="16"/>
        </w:rPr>
        <w:t>J. K. Author, “Title of thesis,” M.S. thesis, Abbrev. Dept., Abbrev. Univ., City of Univ., Abbrev. State, year.</w:t>
      </w:r>
    </w:p>
    <w:p w14:paraId="7AAA21EB" w14:textId="424B8DFE" w:rsidR="00732E46" w:rsidRDefault="000F2C11">
      <w:pPr>
        <w:rPr>
          <w:sz w:val="16"/>
          <w:szCs w:val="16"/>
        </w:rPr>
      </w:pPr>
      <w:r>
        <w:rPr>
          <w:sz w:val="16"/>
          <w:szCs w:val="16"/>
        </w:rPr>
        <w:t>J. K. Author, “Title of dissertation,” Ph.D. dissertation, Abbrev. Dept., Abbrev. Univ., City of Univ., Abbrev. State, year.</w:t>
      </w:r>
    </w:p>
    <w:p w14:paraId="505D6CCA" w14:textId="77777777" w:rsidR="00EF6430" w:rsidRDefault="00EF6430">
      <w:pPr>
        <w:rPr>
          <w:sz w:val="16"/>
          <w:szCs w:val="16"/>
        </w:rPr>
      </w:pPr>
    </w:p>
    <w:p w14:paraId="6BE4353F" w14:textId="3084F7D8" w:rsidR="00732E46" w:rsidRDefault="000F2C11">
      <w:pPr>
        <w:rPr>
          <w:rFonts w:ascii="Times" w:eastAsia="Times" w:hAnsi="Times" w:cs="Times"/>
          <w:i/>
        </w:rPr>
      </w:pPr>
      <w:r>
        <w:rPr>
          <w:rFonts w:ascii="Times" w:eastAsia="Times" w:hAnsi="Times" w:cs="Times"/>
          <w:i/>
        </w:rPr>
        <w:t>Examples:</w:t>
      </w:r>
    </w:p>
    <w:p w14:paraId="2CDB9BE9"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J. O. Williams, “Narrow-band analyzer,” Ph.D. dissertation, Dept. Elect. Eng., Harvard Univ., Cambridge, MA, USA, 1993.</w:t>
      </w:r>
    </w:p>
    <w:p w14:paraId="7FF9146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N. Kawasaki, “Parametric study of thermal and chemical nonequilibrium nozzle flow,” M.S. thesis, Dept. Electron. Eng., Osaka Univ., Osaka, Japan, 1993.</w:t>
      </w:r>
    </w:p>
    <w:p w14:paraId="4CC431C7" w14:textId="77777777" w:rsidR="007054D1" w:rsidRDefault="007054D1">
      <w:pPr>
        <w:rPr>
          <w:rFonts w:ascii="Times" w:eastAsia="Times" w:hAnsi="Times" w:cs="Times"/>
          <w:i/>
        </w:rPr>
      </w:pPr>
    </w:p>
    <w:p w14:paraId="118FCC2C" w14:textId="0E4373F5" w:rsidR="00732E46" w:rsidRDefault="000F2C11">
      <w:pPr>
        <w:rPr>
          <w:rFonts w:ascii="Times" w:eastAsia="Times" w:hAnsi="Times" w:cs="Times"/>
          <w:i/>
        </w:rPr>
      </w:pPr>
      <w:r>
        <w:rPr>
          <w:rFonts w:ascii="Times" w:eastAsia="Times" w:hAnsi="Times" w:cs="Times"/>
          <w:i/>
        </w:rPr>
        <w:t>Basic format for the most common types of unpublished references:</w:t>
      </w:r>
    </w:p>
    <w:p w14:paraId="54985C12" w14:textId="41D90FC2" w:rsidR="00732E46" w:rsidRDefault="000F2C11">
      <w:pPr>
        <w:rPr>
          <w:sz w:val="16"/>
          <w:szCs w:val="16"/>
        </w:rPr>
      </w:pPr>
      <w:r>
        <w:rPr>
          <w:sz w:val="16"/>
          <w:szCs w:val="16"/>
        </w:rPr>
        <w:t>J. K. Author, private communication, Abbrev. Month, year.</w:t>
      </w:r>
    </w:p>
    <w:p w14:paraId="7410FF32" w14:textId="73CDF3F8" w:rsidR="00732E46" w:rsidRDefault="000F2C11">
      <w:pPr>
        <w:rPr>
          <w:sz w:val="16"/>
          <w:szCs w:val="16"/>
        </w:rPr>
      </w:pPr>
      <w:r>
        <w:rPr>
          <w:sz w:val="16"/>
          <w:szCs w:val="16"/>
        </w:rPr>
        <w:t>J. K. Author, “Title of paper,” unpublished.</w:t>
      </w:r>
    </w:p>
    <w:p w14:paraId="4B1B0724" w14:textId="055F51FE" w:rsidR="00732E46" w:rsidRDefault="000F2C11">
      <w:pPr>
        <w:rPr>
          <w:sz w:val="16"/>
          <w:szCs w:val="16"/>
        </w:rPr>
      </w:pPr>
      <w:r>
        <w:rPr>
          <w:sz w:val="16"/>
          <w:szCs w:val="16"/>
        </w:rPr>
        <w:t>J. K. Author, “Title of paper,” to be published.</w:t>
      </w:r>
    </w:p>
    <w:p w14:paraId="700D30E6" w14:textId="77777777" w:rsidR="00EF6430" w:rsidRDefault="00EF6430">
      <w:pPr>
        <w:rPr>
          <w:sz w:val="16"/>
          <w:szCs w:val="16"/>
        </w:rPr>
      </w:pPr>
    </w:p>
    <w:p w14:paraId="66EDD228" w14:textId="77777777" w:rsidR="00732E46" w:rsidRDefault="000F2C11">
      <w:pPr>
        <w:rPr>
          <w:rFonts w:ascii="Times" w:eastAsia="Times" w:hAnsi="Times" w:cs="Times"/>
          <w:i/>
        </w:rPr>
      </w:pPr>
      <w:r>
        <w:rPr>
          <w:rFonts w:ascii="Times" w:eastAsia="Times" w:hAnsi="Times" w:cs="Times"/>
          <w:i/>
        </w:rPr>
        <w:t>Examples:</w:t>
      </w:r>
    </w:p>
    <w:p w14:paraId="4CA43FD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Harrison, private communication, May 1995.</w:t>
      </w:r>
    </w:p>
    <w:p w14:paraId="5431155C"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B. Smith, “An approach to graphs of linear forms,” 2014</w:t>
      </w:r>
      <w:r>
        <w:rPr>
          <w:sz w:val="16"/>
          <w:szCs w:val="16"/>
        </w:rPr>
        <w:t>,</w:t>
      </w:r>
      <w:r>
        <w:rPr>
          <w:color w:val="000000"/>
          <w:sz w:val="16"/>
          <w:szCs w:val="16"/>
        </w:rPr>
        <w:t xml:space="preserve"> </w:t>
      </w:r>
      <w:r>
        <w:rPr>
          <w:i/>
          <w:sz w:val="16"/>
          <w:szCs w:val="16"/>
        </w:rPr>
        <w:t>arXiv:2105.02824</w:t>
      </w:r>
      <w:r>
        <w:rPr>
          <w:sz w:val="16"/>
          <w:szCs w:val="16"/>
        </w:rPr>
        <w:t>.</w:t>
      </w:r>
    </w:p>
    <w:p w14:paraId="7A0D3B7E"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Brahms, “Representation error for real numbers in binary computer arithmetic,” IEEE Computer Group Repository, Paper R-67-85.</w:t>
      </w:r>
    </w:p>
    <w:p w14:paraId="68B03F24" w14:textId="77777777" w:rsidR="00732E46" w:rsidRDefault="00732E46">
      <w:pPr>
        <w:rPr>
          <w:rFonts w:ascii="Times" w:eastAsia="Times" w:hAnsi="Times" w:cs="Times"/>
          <w:i/>
        </w:rPr>
      </w:pPr>
    </w:p>
    <w:p w14:paraId="4C733759" w14:textId="77777777" w:rsidR="00732E46" w:rsidRDefault="000F2C11">
      <w:pPr>
        <w:rPr>
          <w:rFonts w:ascii="Times" w:eastAsia="Times" w:hAnsi="Times" w:cs="Times"/>
          <w:i/>
        </w:rPr>
      </w:pPr>
      <w:r>
        <w:rPr>
          <w:rFonts w:ascii="Times" w:eastAsia="Times" w:hAnsi="Times" w:cs="Times"/>
          <w:i/>
        </w:rPr>
        <w:t>Basic formats for standards:</w:t>
      </w:r>
    </w:p>
    <w:p w14:paraId="7B1F210D" w14:textId="77777777" w:rsidR="00732E46" w:rsidRDefault="000F2C11">
      <w:pPr>
        <w:rPr>
          <w:sz w:val="16"/>
          <w:szCs w:val="16"/>
        </w:rPr>
      </w:pPr>
      <w:r>
        <w:rPr>
          <w:sz w:val="16"/>
          <w:szCs w:val="16"/>
        </w:rPr>
        <w:t>a)</w:t>
      </w:r>
      <w:r>
        <w:rPr>
          <w:i/>
          <w:sz w:val="16"/>
          <w:szCs w:val="16"/>
        </w:rPr>
        <w:t xml:space="preserve"> Title of Standard</w:t>
      </w:r>
      <w:r>
        <w:rPr>
          <w:sz w:val="16"/>
          <w:szCs w:val="16"/>
        </w:rPr>
        <w:t>, Standard number, date.</w:t>
      </w:r>
    </w:p>
    <w:p w14:paraId="7443FA1D" w14:textId="4519E19D" w:rsidR="00732E46" w:rsidRDefault="000F2C11">
      <w:pPr>
        <w:rPr>
          <w:sz w:val="16"/>
          <w:szCs w:val="16"/>
        </w:rPr>
      </w:pPr>
      <w:r>
        <w:rPr>
          <w:sz w:val="16"/>
          <w:szCs w:val="16"/>
        </w:rPr>
        <w:t xml:space="preserve">b) </w:t>
      </w:r>
      <w:r>
        <w:rPr>
          <w:i/>
          <w:sz w:val="16"/>
          <w:szCs w:val="16"/>
        </w:rPr>
        <w:t>Title of Standard</w:t>
      </w:r>
      <w:r>
        <w:rPr>
          <w:sz w:val="16"/>
          <w:szCs w:val="16"/>
        </w:rPr>
        <w:t>, Standard number, Corporate author, location, date.</w:t>
      </w:r>
    </w:p>
    <w:p w14:paraId="0CF119D5" w14:textId="77777777" w:rsidR="00EF6430" w:rsidRDefault="00EF6430">
      <w:pPr>
        <w:rPr>
          <w:sz w:val="16"/>
          <w:szCs w:val="16"/>
        </w:rPr>
      </w:pPr>
    </w:p>
    <w:p w14:paraId="6EDF1741" w14:textId="77777777" w:rsidR="00732E46" w:rsidRDefault="000F2C11">
      <w:pPr>
        <w:rPr>
          <w:rFonts w:ascii="Times" w:eastAsia="Times" w:hAnsi="Times" w:cs="Times"/>
          <w:i/>
        </w:rPr>
      </w:pPr>
      <w:r>
        <w:rPr>
          <w:rFonts w:ascii="Times" w:eastAsia="Times" w:hAnsi="Times" w:cs="Times"/>
          <w:i/>
        </w:rPr>
        <w:t>Examples:</w:t>
      </w:r>
    </w:p>
    <w:p w14:paraId="7F8C0807" w14:textId="77777777" w:rsidR="00732E46" w:rsidRDefault="000F2C11" w:rsidP="00EF6430">
      <w:pPr>
        <w:numPr>
          <w:ilvl w:val="0"/>
          <w:numId w:val="1"/>
        </w:numPr>
        <w:pBdr>
          <w:top w:val="nil"/>
          <w:left w:val="nil"/>
          <w:bottom w:val="nil"/>
          <w:right w:val="nil"/>
          <w:between w:val="nil"/>
        </w:pBdr>
        <w:ind w:left="360"/>
        <w:jc w:val="both"/>
        <w:rPr>
          <w:color w:val="000000"/>
          <w:sz w:val="16"/>
          <w:szCs w:val="16"/>
        </w:rPr>
      </w:pPr>
      <w:r>
        <w:rPr>
          <w:color w:val="000000"/>
          <w:sz w:val="16"/>
          <w:szCs w:val="16"/>
        </w:rPr>
        <w:t>IEEE Criteria for Class IE Electric Systems, IEEE Standard 308, 1969.</w:t>
      </w:r>
    </w:p>
    <w:p w14:paraId="25EF727E" w14:textId="0C562AB4" w:rsidR="00932FBA" w:rsidRPr="00D050EC" w:rsidRDefault="000F2C11" w:rsidP="00EF6430">
      <w:pPr>
        <w:numPr>
          <w:ilvl w:val="0"/>
          <w:numId w:val="1"/>
        </w:numPr>
        <w:pBdr>
          <w:top w:val="nil"/>
          <w:left w:val="nil"/>
          <w:bottom w:val="nil"/>
          <w:right w:val="nil"/>
          <w:between w:val="nil"/>
        </w:pBdr>
        <w:ind w:left="360"/>
        <w:jc w:val="both"/>
        <w:rPr>
          <w:color w:val="000000"/>
        </w:rPr>
      </w:pPr>
      <w:r w:rsidRPr="00932FBA">
        <w:rPr>
          <w:color w:val="000000"/>
          <w:sz w:val="16"/>
          <w:szCs w:val="16"/>
        </w:rPr>
        <w:t>Letter Symbols for Quantities, ANSI Standard Y10.5-1968.</w:t>
      </w:r>
    </w:p>
    <w:p w14:paraId="60B0E832" w14:textId="7DC8B7D4" w:rsidR="00DA5A9A" w:rsidRDefault="00DA5A9A" w:rsidP="00DA5A9A">
      <w:pPr>
        <w:pBdr>
          <w:top w:val="nil"/>
          <w:left w:val="nil"/>
          <w:bottom w:val="nil"/>
          <w:right w:val="nil"/>
          <w:between w:val="nil"/>
        </w:pBdr>
        <w:jc w:val="both"/>
        <w:rPr>
          <w:color w:val="000000"/>
          <w:sz w:val="16"/>
          <w:szCs w:val="16"/>
        </w:rPr>
      </w:pPr>
    </w:p>
    <w:p w14:paraId="524A8437" w14:textId="3C7E2F1D" w:rsidR="00DA5A9A" w:rsidRPr="00D050EC" w:rsidRDefault="00DA5A9A" w:rsidP="00D050EC">
      <w:pPr>
        <w:rPr>
          <w:rFonts w:ascii="Times" w:eastAsia="Times" w:hAnsi="Times" w:cs="Times"/>
          <w:i/>
        </w:rPr>
      </w:pPr>
      <w:r w:rsidRPr="00D050EC">
        <w:rPr>
          <w:rFonts w:ascii="Times" w:eastAsia="Times" w:hAnsi="Times" w:cs="Times"/>
          <w:i/>
        </w:rPr>
        <w:t>Basic format for datasets: </w:t>
      </w:r>
    </w:p>
    <w:p w14:paraId="0FBF25E6" w14:textId="77777777" w:rsidR="00DA5A9A" w:rsidRPr="00D050EC" w:rsidRDefault="00DA5A9A" w:rsidP="00D050EC">
      <w:pPr>
        <w:rPr>
          <w:sz w:val="16"/>
          <w:szCs w:val="16"/>
        </w:rPr>
      </w:pPr>
      <w:proofErr w:type="gramStart"/>
      <w:r w:rsidRPr="00D050EC">
        <w:rPr>
          <w:sz w:val="16"/>
          <w:szCs w:val="16"/>
        </w:rPr>
        <w:t>Author,  Date</w:t>
      </w:r>
      <w:proofErr w:type="gramEnd"/>
      <w:r w:rsidRPr="00D050EC">
        <w:rPr>
          <w:sz w:val="16"/>
          <w:szCs w:val="16"/>
        </w:rPr>
        <w:t>, Year. “Title of Dataset,” distributed by Publisher/Distributor, http://url.com (or if DOI is used, end with a period)</w:t>
      </w:r>
    </w:p>
    <w:p w14:paraId="257A300C" w14:textId="77777777" w:rsidR="000D4F4C" w:rsidRDefault="000D4F4C" w:rsidP="00D050EC">
      <w:pPr>
        <w:rPr>
          <w:rFonts w:ascii="Times" w:eastAsia="Times" w:hAnsi="Times" w:cs="Times"/>
          <w:i/>
        </w:rPr>
      </w:pPr>
    </w:p>
    <w:p w14:paraId="331D9BF5" w14:textId="77777777" w:rsidR="00DA5A9A" w:rsidRDefault="00DA5A9A" w:rsidP="00D050EC">
      <w:r w:rsidRPr="00D050EC">
        <w:rPr>
          <w:rFonts w:ascii="Times" w:eastAsia="Times" w:hAnsi="Times" w:cs="Times"/>
          <w:i/>
        </w:rPr>
        <w:t>Example</w:t>
      </w:r>
      <w:r>
        <w:rPr>
          <w:rFonts w:ascii="Times" w:hAnsi="Times" w:cs="Times"/>
          <w:i/>
          <w:iCs/>
          <w:color w:val="000000"/>
        </w:rPr>
        <w:t>: </w:t>
      </w:r>
    </w:p>
    <w:p w14:paraId="11F4D0B6" w14:textId="50C21B56"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sz w:val="16"/>
          <w:szCs w:val="16"/>
        </w:rPr>
        <w:t xml:space="preserve">U.S. Department of Health and Human Services, Aug. 2013, “Treatment Episode Dataset: Discharges (TEDS-D): Concatenated, 2006 to 2009,” U.S. </w:t>
      </w:r>
      <w:r w:rsidRPr="00D050EC">
        <w:rPr>
          <w:color w:val="000000"/>
          <w:sz w:val="16"/>
          <w:szCs w:val="16"/>
        </w:rPr>
        <w:t>Department</w:t>
      </w:r>
      <w:r w:rsidRPr="00D050EC">
        <w:rPr>
          <w:sz w:val="16"/>
          <w:szCs w:val="16"/>
        </w:rPr>
        <w:t xml:space="preserve"> of Health and Human Services, Substance Abuse and Mental Health Services Administration, Office of Applied Studies, </w:t>
      </w:r>
      <w:proofErr w:type="spellStart"/>
      <w:r w:rsidRPr="00D050EC">
        <w:rPr>
          <w:sz w:val="16"/>
          <w:szCs w:val="16"/>
        </w:rPr>
        <w:t>doi</w:t>
      </w:r>
      <w:proofErr w:type="spellEnd"/>
      <w:r w:rsidRPr="00D050EC">
        <w:rPr>
          <w:sz w:val="16"/>
          <w:szCs w:val="16"/>
        </w:rPr>
        <w:t>: 10.3886/ICPSR30122.v2.</w:t>
      </w:r>
    </w:p>
    <w:p w14:paraId="18412EEA" w14:textId="392FF066" w:rsidR="00DA5A9A" w:rsidRDefault="00DA5A9A" w:rsidP="00DA5A9A">
      <w:pPr>
        <w:pBdr>
          <w:top w:val="nil"/>
          <w:left w:val="nil"/>
          <w:bottom w:val="nil"/>
          <w:right w:val="nil"/>
          <w:between w:val="nil"/>
        </w:pBdr>
        <w:jc w:val="both"/>
        <w:rPr>
          <w:color w:val="000000"/>
        </w:rPr>
      </w:pPr>
    </w:p>
    <w:p w14:paraId="7F2657B0" w14:textId="7887FAC2" w:rsidR="00DA5A9A" w:rsidRPr="00D050EC" w:rsidRDefault="00DA5A9A" w:rsidP="00D050EC">
      <w:pPr>
        <w:rPr>
          <w:rFonts w:ascii="Times" w:eastAsia="Times" w:hAnsi="Times" w:cs="Times"/>
          <w:i/>
        </w:rPr>
      </w:pPr>
      <w:r w:rsidRPr="00D050EC">
        <w:rPr>
          <w:rFonts w:ascii="Times" w:eastAsia="Times" w:hAnsi="Times" w:cs="Times"/>
          <w:i/>
        </w:rPr>
        <w:t>Basic format for code:</w:t>
      </w:r>
    </w:p>
    <w:p w14:paraId="44FAB2C0" w14:textId="7DCDB0C7" w:rsidR="00DA5A9A" w:rsidRPr="00D050EC" w:rsidRDefault="00DA5A9A" w:rsidP="00D050EC">
      <w:pPr>
        <w:rPr>
          <w:rFonts w:ascii="Times" w:hAnsi="Times" w:cs="Times"/>
          <w:color w:val="000000"/>
          <w:sz w:val="16"/>
          <w:szCs w:val="16"/>
        </w:rPr>
      </w:pPr>
      <w:proofErr w:type="gramStart"/>
      <w:r w:rsidRPr="00D050EC">
        <w:rPr>
          <w:rFonts w:ascii="Times" w:hAnsi="Times" w:cs="Times"/>
          <w:color w:val="000000"/>
          <w:sz w:val="16"/>
          <w:szCs w:val="16"/>
        </w:rPr>
        <w:t>Author,  Date</w:t>
      </w:r>
      <w:proofErr w:type="gramEnd"/>
      <w:r w:rsidRPr="00D050EC">
        <w:rPr>
          <w:rFonts w:ascii="Times" w:hAnsi="Times" w:cs="Times"/>
          <w:color w:val="000000"/>
          <w:sz w:val="16"/>
          <w:szCs w:val="16"/>
        </w:rPr>
        <w:t xml:space="preserve"> published or disseminated, Year. “Complete title, including ed./</w:t>
      </w:r>
      <w:proofErr w:type="spellStart"/>
      <w:r w:rsidRPr="00D050EC">
        <w:rPr>
          <w:rFonts w:ascii="Times" w:hAnsi="Times" w:cs="Times"/>
          <w:color w:val="000000"/>
          <w:sz w:val="16"/>
          <w:szCs w:val="16"/>
        </w:rPr>
        <w:t>vers</w:t>
      </w:r>
      <w:proofErr w:type="spellEnd"/>
      <w:r w:rsidRPr="00D050EC">
        <w:rPr>
          <w:rFonts w:ascii="Times" w:hAnsi="Times" w:cs="Times"/>
          <w:color w:val="000000"/>
          <w:sz w:val="16"/>
          <w:szCs w:val="16"/>
        </w:rPr>
        <w:t>.#,” distributed by Publisher/</w:t>
      </w:r>
      <w:r w:rsidRPr="00D050EC">
        <w:rPr>
          <w:sz w:val="16"/>
          <w:szCs w:val="16"/>
        </w:rPr>
        <w:t>Distributor</w:t>
      </w:r>
      <w:r w:rsidRPr="00D050EC">
        <w:rPr>
          <w:rFonts w:ascii="Times" w:hAnsi="Times" w:cs="Times"/>
          <w:color w:val="000000"/>
          <w:sz w:val="16"/>
          <w:szCs w:val="16"/>
        </w:rPr>
        <w:t>, http://url.com (or if DOI is used, end with a period)</w:t>
      </w:r>
    </w:p>
    <w:p w14:paraId="13ABE847" w14:textId="77777777" w:rsidR="00DA5A9A" w:rsidRDefault="00DA5A9A" w:rsidP="00DA5A9A">
      <w:pPr>
        <w:pBdr>
          <w:top w:val="nil"/>
          <w:left w:val="nil"/>
          <w:bottom w:val="nil"/>
          <w:right w:val="nil"/>
          <w:between w:val="nil"/>
        </w:pBdr>
        <w:jc w:val="both"/>
        <w:rPr>
          <w:color w:val="000000"/>
        </w:rPr>
      </w:pPr>
    </w:p>
    <w:p w14:paraId="4494678B" w14:textId="0C550615" w:rsidR="00DA5A9A" w:rsidRDefault="00DA5A9A" w:rsidP="00D050EC">
      <w:pPr>
        <w:rPr>
          <w:rFonts w:ascii="Times" w:hAnsi="Times" w:cs="Times"/>
          <w:i/>
          <w:iCs/>
          <w:color w:val="000000"/>
        </w:rPr>
      </w:pPr>
      <w:r w:rsidRPr="00D050EC">
        <w:rPr>
          <w:rFonts w:ascii="Times" w:eastAsia="Times" w:hAnsi="Times" w:cs="Times"/>
          <w:i/>
        </w:rPr>
        <w:t>Example</w:t>
      </w:r>
      <w:r>
        <w:rPr>
          <w:rFonts w:ascii="Times" w:hAnsi="Times" w:cs="Times"/>
          <w:i/>
          <w:iCs/>
          <w:color w:val="000000"/>
        </w:rPr>
        <w:t>: </w:t>
      </w:r>
    </w:p>
    <w:p w14:paraId="34D70B27" w14:textId="419F93B9"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rFonts w:ascii="Times" w:hAnsi="Times" w:cs="Times"/>
          <w:color w:val="000000"/>
          <w:sz w:val="16"/>
          <w:szCs w:val="16"/>
        </w:rPr>
        <w:t xml:space="preserve">T. </w:t>
      </w:r>
      <w:proofErr w:type="spellStart"/>
      <w:r w:rsidRPr="00D050EC">
        <w:rPr>
          <w:rFonts w:ascii="Times" w:hAnsi="Times" w:cs="Times"/>
          <w:color w:val="000000"/>
          <w:sz w:val="16"/>
          <w:szCs w:val="16"/>
        </w:rPr>
        <w:t>D’Martin</w:t>
      </w:r>
      <w:proofErr w:type="spellEnd"/>
      <w:r w:rsidRPr="00D050EC">
        <w:rPr>
          <w:rFonts w:ascii="Times" w:hAnsi="Times" w:cs="Times"/>
          <w:color w:val="000000"/>
          <w:sz w:val="16"/>
          <w:szCs w:val="16"/>
        </w:rPr>
        <w:t xml:space="preserve"> and S. Soares, 2019, “Code for Assessment of Markov Decision Processes in Long-Term Hydrothermal Scheduling of Single-Reservoir Systems (Version 1.0),” Code Ocean, </w:t>
      </w:r>
      <w:proofErr w:type="spellStart"/>
      <w:r w:rsidRPr="00D050EC">
        <w:rPr>
          <w:rFonts w:ascii="Times" w:hAnsi="Times" w:cs="Times"/>
          <w:color w:val="000000"/>
          <w:sz w:val="16"/>
          <w:szCs w:val="16"/>
        </w:rPr>
        <w:t>doi</w:t>
      </w:r>
      <w:proofErr w:type="spellEnd"/>
      <w:r w:rsidRPr="00D050EC">
        <w:rPr>
          <w:rFonts w:ascii="Times" w:hAnsi="Times" w:cs="Times"/>
          <w:color w:val="000000"/>
          <w:sz w:val="16"/>
          <w:szCs w:val="16"/>
        </w:rPr>
        <w:t>: _1.24433/CO.7212286.v1</w:t>
      </w:r>
    </w:p>
    <w:p w14:paraId="59F5C88B" w14:textId="77777777" w:rsidR="00DA5A9A" w:rsidRPr="00932FBA" w:rsidRDefault="00DA5A9A" w:rsidP="001F2329">
      <w:pPr>
        <w:pBdr>
          <w:top w:val="nil"/>
          <w:left w:val="nil"/>
          <w:bottom w:val="nil"/>
          <w:right w:val="nil"/>
          <w:between w:val="nil"/>
        </w:pBdr>
        <w:spacing w:before="30"/>
        <w:jc w:val="both"/>
        <w:rPr>
          <w:color w:val="000000"/>
        </w:rPr>
      </w:pPr>
    </w:p>
    <w:p w14:paraId="40D15B3E" w14:textId="775E81EF" w:rsidR="005E69DC" w:rsidRDefault="005E69DC">
      <w:pPr>
        <w:rPr>
          <w:color w:val="000000"/>
        </w:rPr>
      </w:pPr>
    </w:p>
    <w:p w14:paraId="73C90705" w14:textId="54C276F4" w:rsidR="00732E46" w:rsidRPr="00932FBA" w:rsidRDefault="00954BD6" w:rsidP="001E7EDB">
      <w:pPr>
        <w:pBdr>
          <w:top w:val="nil"/>
          <w:left w:val="nil"/>
          <w:bottom w:val="nil"/>
          <w:right w:val="nil"/>
          <w:between w:val="nil"/>
        </w:pBdr>
        <w:jc w:val="both"/>
        <w:rPr>
          <w:color w:val="000000"/>
        </w:rPr>
      </w:pPr>
      <w:r>
        <w:rPr>
          <w:noProof/>
        </w:rPr>
        <w:drawing>
          <wp:anchor distT="0" distB="0" distL="114300" distR="114300" simplePos="0" relativeHeight="251659264" behindDoc="0" locked="0" layoutInCell="1" allowOverlap="1" wp14:anchorId="14EA730D" wp14:editId="51413B8E">
            <wp:simplePos x="0" y="0"/>
            <wp:positionH relativeFrom="column">
              <wp:posOffset>1905</wp:posOffset>
            </wp:positionH>
            <wp:positionV relativeFrom="paragraph">
              <wp:posOffset>48260</wp:posOffset>
            </wp:positionV>
            <wp:extent cx="931545" cy="1146810"/>
            <wp:effectExtent l="0" t="0" r="190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31545" cy="1146810"/>
                    </a:xfrm>
                    <a:prstGeom prst="rect">
                      <a:avLst/>
                    </a:prstGeom>
                  </pic:spPr>
                </pic:pic>
              </a:graphicData>
            </a:graphic>
            <wp14:sizeRelH relativeFrom="margin">
              <wp14:pctWidth>0</wp14:pctWidth>
            </wp14:sizeRelH>
            <wp14:sizeRelV relativeFrom="margin">
              <wp14:pctHeight>0</wp14:pctHeight>
            </wp14:sizeRelV>
          </wp:anchor>
        </w:drawing>
      </w:r>
      <w:r w:rsidR="000F2C11" w:rsidRPr="00932FBA">
        <w:rPr>
          <w:b/>
          <w:color w:val="000000"/>
        </w:rPr>
        <w:t>First A. Author</w:t>
      </w:r>
      <w:r w:rsidR="000F2C11" w:rsidRPr="00932FBA">
        <w:rPr>
          <w:color w:val="000000"/>
        </w:rPr>
        <w:t xml:space="preserve"> (</w:t>
      </w:r>
      <w:r w:rsidR="000F2C11">
        <w:t>Fellow, IEEE</w:t>
      </w:r>
      <w:r w:rsidR="000F2C11" w:rsidRPr="00932FBA">
        <w:rPr>
          <w:color w:val="000000"/>
        </w:rPr>
        <w:t xml:space="preserve">) and all authors may include biographies if </w:t>
      </w:r>
      <w:r w:rsidR="000F2C11">
        <w:t>the publication allows. Biographies are often not included in conference-related papers. Please check the Information for Authors to confirm</w:t>
      </w:r>
      <w:r w:rsidR="000F2C11" w:rsidRPr="00932FBA">
        <w:rPr>
          <w:color w:val="000000"/>
        </w:rPr>
        <w:t xml:space="preserve">. </w:t>
      </w:r>
      <w:r w:rsidR="000F2C11">
        <w:t>Author photos should be current, professional images of the head and shoulders.</w:t>
      </w:r>
      <w:r w:rsidR="000F2C11" w:rsidRPr="00932FBA">
        <w:rPr>
          <w:color w:val="000000"/>
        </w:rPr>
        <w:t xml:space="preserve"> The first paragraph may contain a place and/or date of birth (list place, then date). Next, the author’s educational background is listed. The degrees should be listed with the type of degree in </w:t>
      </w:r>
      <w:r w:rsidR="000F2C11" w:rsidRPr="00932FBA">
        <w:rPr>
          <w:color w:val="000000"/>
        </w:rPr>
        <w:lastRenderedPageBreak/>
        <w:t xml:space="preserve">what field, which institution, city, state, and country, and year the degree was earned. The author’s major field of study should be lowercase. </w:t>
      </w:r>
    </w:p>
    <w:p w14:paraId="021F3C56" w14:textId="143F5465" w:rsidR="00732E46" w:rsidRDefault="000F2C11">
      <w:pPr>
        <w:pBdr>
          <w:top w:val="nil"/>
          <w:left w:val="nil"/>
          <w:bottom w:val="nil"/>
          <w:right w:val="nil"/>
          <w:between w:val="nil"/>
        </w:pBdr>
        <w:ind w:firstLine="202"/>
        <w:jc w:val="both"/>
        <w:rPr>
          <w:color w:val="000000"/>
        </w:rPr>
      </w:pPr>
      <w:r>
        <w:rPr>
          <w:color w:val="000000"/>
        </w:rPr>
        <w:t>The second paragraph uses the preferred third</w:t>
      </w:r>
      <w:r>
        <w:t xml:space="preserve"> person </w:t>
      </w:r>
      <w:r>
        <w:rPr>
          <w:color w:val="000000"/>
        </w:rPr>
        <w:t>pronoun (he</w:t>
      </w:r>
      <w:r>
        <w:t>,</w:t>
      </w:r>
      <w:r>
        <w:rPr>
          <w:color w:val="000000"/>
        </w:rPr>
        <w:t xml:space="preserve"> she, they, et</w:t>
      </w:r>
      <w:r>
        <w:t>c.</w:t>
      </w:r>
      <w:r>
        <w:rPr>
          <w:color w:val="000000"/>
        </w:rPr>
        <w:t>) and not the author’s last name. It lists military and work experience, including summer and fellowship jobs. Job titles are capitalized. The current job must have a location; previous positions may be listed without one. Information concerning previous publications may be included</w:t>
      </w:r>
      <w:r w:rsidR="00A853F3">
        <w:rPr>
          <w:color w:val="000000"/>
        </w:rPr>
        <w:t>.</w:t>
      </w:r>
      <w:r>
        <w:rPr>
          <w:color w:val="000000"/>
        </w:rPr>
        <w:t xml:space="preserve"> The format for listing publishers of a book within the biography is: </w:t>
      </w:r>
      <w:r>
        <w:rPr>
          <w:i/>
        </w:rPr>
        <w:t>T</w:t>
      </w:r>
      <w:r>
        <w:rPr>
          <w:i/>
          <w:color w:val="000000"/>
        </w:rPr>
        <w:t xml:space="preserve">itle of </w:t>
      </w:r>
      <w:r>
        <w:rPr>
          <w:i/>
        </w:rPr>
        <w:t>B</w:t>
      </w:r>
      <w:r>
        <w:rPr>
          <w:i/>
          <w:color w:val="000000"/>
        </w:rPr>
        <w:t>ook</w:t>
      </w:r>
      <w:r>
        <w:rPr>
          <w:color w:val="000000"/>
        </w:rPr>
        <w:t xml:space="preserve"> (publisher name, year) similar to a reference. Current and previous research interests end the paragraph.</w:t>
      </w:r>
    </w:p>
    <w:p w14:paraId="035A69EA" w14:textId="7FABB5E4" w:rsidR="00732E46" w:rsidRDefault="000F2C11" w:rsidP="00D050EC">
      <w:pPr>
        <w:pBdr>
          <w:top w:val="nil"/>
          <w:left w:val="nil"/>
          <w:bottom w:val="nil"/>
          <w:right w:val="nil"/>
          <w:between w:val="nil"/>
        </w:pBdr>
        <w:ind w:firstLine="202"/>
        <w:jc w:val="both"/>
        <w:rPr>
          <w:color w:val="000000"/>
        </w:rPr>
      </w:pPr>
      <w:r>
        <w:rPr>
          <w:color w:val="000000"/>
        </w:rPr>
        <w:t xml:space="preserve">The third paragraph begins with the author’s preferred title and last name (e.g., Dr. Smith, Prof. Jones, Mr. </w:t>
      </w:r>
      <w:proofErr w:type="spellStart"/>
      <w:r>
        <w:rPr>
          <w:color w:val="000000"/>
        </w:rPr>
        <w:t>Kajor</w:t>
      </w:r>
      <w:proofErr w:type="spellEnd"/>
      <w:r>
        <w:rPr>
          <w:color w:val="000000"/>
        </w:rPr>
        <w:t xml:space="preserve">, Ms. Hunter, Mx. Riley). List any memberships in professional societies other than the IEEE. Finally, list any awards and work for IEEE committees and publications. </w:t>
      </w:r>
    </w:p>
    <w:p w14:paraId="2F9336D9" w14:textId="77777777" w:rsidR="00A853F3" w:rsidRDefault="00A853F3">
      <w:pPr>
        <w:pBdr>
          <w:top w:val="nil"/>
          <w:left w:val="nil"/>
          <w:bottom w:val="nil"/>
          <w:right w:val="nil"/>
          <w:between w:val="nil"/>
        </w:pBdr>
        <w:tabs>
          <w:tab w:val="left" w:pos="450"/>
        </w:tabs>
        <w:jc w:val="both"/>
        <w:rPr>
          <w:color w:val="000000"/>
        </w:rPr>
      </w:pPr>
    </w:p>
    <w:p w14:paraId="5F4B47C0" w14:textId="77777777" w:rsidR="00C04F49" w:rsidRDefault="00C04F49">
      <w:pPr>
        <w:pBdr>
          <w:top w:val="nil"/>
          <w:left w:val="nil"/>
          <w:bottom w:val="nil"/>
          <w:right w:val="nil"/>
          <w:between w:val="nil"/>
        </w:pBdr>
        <w:tabs>
          <w:tab w:val="left" w:pos="450"/>
        </w:tabs>
        <w:jc w:val="both"/>
        <w:rPr>
          <w:color w:val="000000"/>
        </w:rPr>
      </w:pPr>
    </w:p>
    <w:p w14:paraId="3E9DF21A" w14:textId="7AD9B6B2" w:rsidR="00732E46" w:rsidRDefault="000F2C11">
      <w:pPr>
        <w:jc w:val="both"/>
        <w:rPr>
          <w:rFonts w:ascii="Times" w:eastAsia="Times" w:hAnsi="Times" w:cs="Times"/>
        </w:rPr>
      </w:pPr>
      <w:r>
        <w:rPr>
          <w:b/>
        </w:rPr>
        <w:t>Second B. Author</w:t>
      </w:r>
      <w:r w:rsidR="00EA352F" w:rsidRPr="00EA352F">
        <w:rPr>
          <w:bCs/>
        </w:rPr>
        <w:t>,</w:t>
      </w:r>
      <w:r>
        <w:t xml:space="preserve"> </w:t>
      </w:r>
      <w:r>
        <w:rPr>
          <w:rFonts w:ascii="Times" w:eastAsia="Times" w:hAnsi="Times" w:cs="Times"/>
        </w:rPr>
        <w:t xml:space="preserve">photograph and biography not available at the time of publication.  </w:t>
      </w:r>
    </w:p>
    <w:p w14:paraId="660C7766" w14:textId="77777777" w:rsidR="00C04F49" w:rsidRDefault="00C04F49">
      <w:pPr>
        <w:jc w:val="both"/>
        <w:rPr>
          <w:rFonts w:ascii="Times" w:eastAsia="Times" w:hAnsi="Times" w:cs="Times"/>
        </w:rPr>
      </w:pPr>
    </w:p>
    <w:p w14:paraId="41C918F2" w14:textId="0835C9F8" w:rsidR="00732E46" w:rsidRDefault="000F2C11">
      <w:pPr>
        <w:jc w:val="both"/>
        <w:rPr>
          <w:rFonts w:ascii="Times" w:eastAsia="Times" w:hAnsi="Times" w:cs="Times"/>
        </w:rPr>
      </w:pPr>
      <w:r>
        <w:rPr>
          <w:b/>
        </w:rPr>
        <w:t xml:space="preserve">Third C. Author Jr. </w:t>
      </w:r>
      <w:r>
        <w:rPr>
          <w:rFonts w:ascii="Times" w:eastAsia="Times" w:hAnsi="Times" w:cs="Times"/>
        </w:rPr>
        <w:t>(Member, IEEE), photograph and biography not availa</w:t>
      </w:r>
      <w:r w:rsidR="00851B4D">
        <w:rPr>
          <w:rFonts w:ascii="Times" w:eastAsia="Times" w:hAnsi="Times" w:cs="Times"/>
        </w:rPr>
        <w:t>ble at the time of publication.</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36C4A" w14:textId="77777777" w:rsidR="007157CA" w:rsidRDefault="007157CA">
      <w:r>
        <w:separator/>
      </w:r>
    </w:p>
  </w:endnote>
  <w:endnote w:type="continuationSeparator" w:id="0">
    <w:p w14:paraId="652D7501" w14:textId="77777777" w:rsidR="007157CA" w:rsidRDefault="00715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Calibri"/>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A7210" w14:textId="77777777" w:rsidR="007157CA" w:rsidRPr="009A0AA6" w:rsidRDefault="007157CA" w:rsidP="009A0AA6">
      <w:pPr>
        <w:pStyle w:val="a7"/>
      </w:pPr>
    </w:p>
  </w:footnote>
  <w:footnote w:type="continuationSeparator" w:id="0">
    <w:p w14:paraId="0D408AFF" w14:textId="77777777" w:rsidR="007157CA" w:rsidRDefault="007157CA">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w:t>
      </w:r>
      <w:r w:rsidRPr="00E01B5B">
        <w:rPr>
          <w:i/>
          <w:sz w:val="16"/>
          <w:szCs w:val="16"/>
        </w:rPr>
        <w:t>Second B. Author</w:t>
      </w:r>
      <w:r>
        <w:rPr>
          <w:i/>
          <w:sz w:val="16"/>
          <w:szCs w:val="16"/>
        </w:rPr>
        <w:t xml:space="preserve">). </w:t>
      </w:r>
      <w:r>
        <w:rPr>
          <w:sz w:val="16"/>
          <w:szCs w:val="16"/>
        </w:rPr>
        <w:t xml:space="preserve">Here you may also indicate if authors contributed equally or if there are co-first authors. </w:t>
      </w:r>
    </w:p>
    <w:p w14:paraId="5FCDE783"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The next few paragraphs should contain the authors’ current affiliations, including current address and e-mail. For example, F</w:t>
      </w:r>
      <w:r>
        <w:rPr>
          <w:sz w:val="16"/>
          <w:szCs w:val="16"/>
        </w:rPr>
        <w:t>irst</w:t>
      </w:r>
      <w:r>
        <w:rPr>
          <w:color w:val="000000"/>
          <w:sz w:val="16"/>
          <w:szCs w:val="16"/>
        </w:rPr>
        <w:t xml:space="preserve"> A. Author is with the National Institute of Standards and Technology, Boulder, CO 80305 USA (e-mail: author@ boulder.nist.gov). </w:t>
      </w:r>
    </w:p>
    <w:p w14:paraId="7937703E" w14:textId="4B530715"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(e-mail: author@lamar.colostate.edu).</w:t>
      </w:r>
    </w:p>
    <w:p w14:paraId="5ED9EAB1"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690D5EFE" w14:textId="77777777" w:rsidR="00BE4774" w:rsidRDefault="00BE4774" w:rsidP="00BE4774">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4102162F" w14:textId="77777777" w:rsidR="00BE4774" w:rsidRDefault="00BE4774" w:rsidP="00BE4774">
      <w:pPr>
        <w:pStyle w:val="a4"/>
      </w:pPr>
      <w:r>
        <w:t>Color versions of one or more of the figures in this article are available online at http://ieeexplore.ieee.org</w:t>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a6"/>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2"/>
      <w:lvlText w:val=""/>
      <w:lvlJc w:val="left"/>
      <w:pPr>
        <w:ind w:left="0" w:firstLine="0"/>
      </w:pPr>
    </w:lvl>
    <w:lvl w:ilvl="2">
      <w:start w:val="1"/>
      <w:numFmt w:val="bullet"/>
      <w:pStyle w:val="3"/>
      <w:lvlText w:val=""/>
      <w:lvlJc w:val="left"/>
      <w:pPr>
        <w:ind w:left="0" w:firstLine="0"/>
      </w:pPr>
    </w:lvl>
    <w:lvl w:ilvl="3">
      <w:start w:val="1"/>
      <w:numFmt w:val="bullet"/>
      <w:pStyle w:val="4"/>
      <w:lvlText w:val=""/>
      <w:lvlJc w:val="left"/>
      <w:pPr>
        <w:ind w:left="0" w:firstLine="0"/>
      </w:pPr>
    </w:lvl>
    <w:lvl w:ilvl="4">
      <w:start w:val="1"/>
      <w:numFmt w:val="bullet"/>
      <w:pStyle w:val="5"/>
      <w:lvlText w:val=""/>
      <w:lvlJc w:val="left"/>
      <w:pPr>
        <w:ind w:left="0" w:firstLine="0"/>
      </w:pPr>
    </w:lvl>
    <w:lvl w:ilvl="5">
      <w:start w:val="1"/>
      <w:numFmt w:val="bullet"/>
      <w:pStyle w:val="6"/>
      <w:lvlText w:val=""/>
      <w:lvlJc w:val="left"/>
      <w:pPr>
        <w:ind w:left="0" w:firstLine="0"/>
      </w:pPr>
    </w:lvl>
    <w:lvl w:ilvl="6">
      <w:start w:val="1"/>
      <w:numFmt w:val="bullet"/>
      <w:pStyle w:val="7"/>
      <w:lvlText w:val=""/>
      <w:lvlJc w:val="left"/>
      <w:pPr>
        <w:ind w:left="0" w:firstLine="0"/>
      </w:pPr>
    </w:lvl>
    <w:lvl w:ilvl="7">
      <w:start w:val="1"/>
      <w:numFmt w:val="bullet"/>
      <w:pStyle w:val="8"/>
      <w:lvlText w:val=""/>
      <w:lvlJc w:val="left"/>
      <w:pPr>
        <w:ind w:left="0" w:firstLine="0"/>
      </w:pPr>
    </w:lvl>
    <w:lvl w:ilvl="8">
      <w:start w:val="1"/>
      <w:numFmt w:val="bullet"/>
      <w:pStyle w:val="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C548F"/>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157CA"/>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251D"/>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857A0"/>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6D266AC4-223B-43C9-B2E5-B159B20B1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autoRedefine/>
    <w:uiPriority w:val="9"/>
    <w:qFormat/>
    <w:rsid w:val="00827FB8"/>
    <w:pPr>
      <w:keepNext/>
      <w:spacing w:before="240" w:after="80"/>
      <w:jc w:val="center"/>
      <w:outlineLvl w:val="0"/>
    </w:pPr>
    <w:rPr>
      <w:smallCaps/>
      <w:kern w:val="28"/>
    </w:rPr>
  </w:style>
  <w:style w:type="paragraph" w:styleId="2">
    <w:name w:val="heading 2"/>
    <w:basedOn w:val="a"/>
    <w:next w:val="a"/>
    <w:link w:val="20"/>
    <w:uiPriority w:val="9"/>
    <w:unhideWhenUsed/>
    <w:qFormat/>
    <w:pPr>
      <w:keepNext/>
      <w:numPr>
        <w:ilvl w:val="1"/>
        <w:numId w:val="1"/>
      </w:numPr>
      <w:spacing w:before="120" w:after="60"/>
      <w:outlineLvl w:val="1"/>
    </w:pPr>
    <w:rPr>
      <w:i/>
      <w:iCs/>
    </w:rPr>
  </w:style>
  <w:style w:type="paragraph" w:styleId="3">
    <w:name w:val="heading 3"/>
    <w:basedOn w:val="a"/>
    <w:next w:val="a"/>
    <w:uiPriority w:val="9"/>
    <w:unhideWhenUsed/>
    <w:qFormat/>
    <w:pPr>
      <w:keepNext/>
      <w:numPr>
        <w:ilvl w:val="2"/>
        <w:numId w:val="1"/>
      </w:numPr>
      <w:outlineLvl w:val="2"/>
    </w:pPr>
    <w:rPr>
      <w:i/>
      <w:iCs/>
    </w:rPr>
  </w:style>
  <w:style w:type="paragraph" w:styleId="4">
    <w:name w:val="heading 4"/>
    <w:basedOn w:val="a"/>
    <w:next w:val="a"/>
    <w:uiPriority w:val="9"/>
    <w:semiHidden/>
    <w:unhideWhenUsed/>
    <w:qFormat/>
    <w:pPr>
      <w:keepNext/>
      <w:numPr>
        <w:ilvl w:val="3"/>
        <w:numId w:val="1"/>
      </w:numPr>
      <w:spacing w:before="240" w:after="60"/>
      <w:outlineLvl w:val="3"/>
    </w:pPr>
    <w:rPr>
      <w:i/>
      <w:iCs/>
      <w:sz w:val="18"/>
      <w:szCs w:val="18"/>
    </w:rPr>
  </w:style>
  <w:style w:type="paragraph" w:styleId="5">
    <w:name w:val="heading 5"/>
    <w:basedOn w:val="a"/>
    <w:next w:val="a"/>
    <w:uiPriority w:val="9"/>
    <w:semiHidden/>
    <w:unhideWhenUsed/>
    <w:qFormat/>
    <w:pPr>
      <w:numPr>
        <w:ilvl w:val="4"/>
        <w:numId w:val="1"/>
      </w:numPr>
      <w:spacing w:before="240" w:after="60"/>
      <w:outlineLvl w:val="4"/>
    </w:pPr>
    <w:rPr>
      <w:sz w:val="18"/>
      <w:szCs w:val="18"/>
    </w:rPr>
  </w:style>
  <w:style w:type="paragraph" w:styleId="6">
    <w:name w:val="heading 6"/>
    <w:basedOn w:val="a"/>
    <w:next w:val="a"/>
    <w:uiPriority w:val="9"/>
    <w:semiHidden/>
    <w:unhideWhenUsed/>
    <w:qFormat/>
    <w:pPr>
      <w:numPr>
        <w:ilvl w:val="5"/>
        <w:numId w:val="1"/>
      </w:numPr>
      <w:spacing w:before="240" w:after="60"/>
      <w:outlineLvl w:val="5"/>
    </w:pPr>
    <w:rPr>
      <w:i/>
      <w:iCs/>
      <w:sz w:val="16"/>
      <w:szCs w:val="16"/>
    </w:rPr>
  </w:style>
  <w:style w:type="paragraph" w:styleId="7">
    <w:name w:val="heading 7"/>
    <w:basedOn w:val="a"/>
    <w:next w:val="a"/>
    <w:uiPriority w:val="9"/>
    <w:qFormat/>
    <w:pPr>
      <w:numPr>
        <w:ilvl w:val="6"/>
        <w:numId w:val="1"/>
      </w:numPr>
      <w:spacing w:before="240" w:after="60"/>
      <w:outlineLvl w:val="6"/>
    </w:pPr>
    <w:rPr>
      <w:sz w:val="16"/>
      <w:szCs w:val="16"/>
    </w:rPr>
  </w:style>
  <w:style w:type="paragraph" w:styleId="8">
    <w:name w:val="heading 8"/>
    <w:basedOn w:val="a"/>
    <w:next w:val="a"/>
    <w:uiPriority w:val="9"/>
    <w:qFormat/>
    <w:pPr>
      <w:numPr>
        <w:ilvl w:val="7"/>
        <w:numId w:val="1"/>
      </w:numPr>
      <w:spacing w:before="240" w:after="60"/>
      <w:outlineLvl w:val="7"/>
    </w:pPr>
    <w:rPr>
      <w:i/>
      <w:iCs/>
      <w:sz w:val="16"/>
      <w:szCs w:val="16"/>
    </w:rPr>
  </w:style>
  <w:style w:type="paragraph" w:styleId="9">
    <w:name w:val="heading 9"/>
    <w:basedOn w:val="a"/>
    <w:next w:val="a"/>
    <w:uiPriority w:val="9"/>
    <w:qFormat/>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a"/>
    <w:next w:val="a"/>
    <w:pPr>
      <w:spacing w:before="20"/>
      <w:ind w:firstLine="202"/>
      <w:jc w:val="both"/>
    </w:pPr>
    <w:rPr>
      <w:b/>
      <w:bCs/>
      <w:sz w:val="18"/>
      <w:szCs w:val="18"/>
    </w:rPr>
  </w:style>
  <w:style w:type="paragraph" w:customStyle="1" w:styleId="Authors">
    <w:name w:val="Authors"/>
    <w:basedOn w:val="a"/>
    <w:next w:val="a"/>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a4">
    <w:name w:val="footnote text"/>
    <w:basedOn w:val="a"/>
    <w:link w:val="a5"/>
    <w:semiHidden/>
    <w:pPr>
      <w:ind w:firstLine="202"/>
      <w:jc w:val="both"/>
    </w:pPr>
    <w:rPr>
      <w:sz w:val="16"/>
      <w:szCs w:val="16"/>
    </w:rPr>
  </w:style>
  <w:style w:type="paragraph" w:customStyle="1" w:styleId="References">
    <w:name w:val="References"/>
    <w:basedOn w:val="a"/>
    <w:pPr>
      <w:numPr>
        <w:numId w:val="6"/>
      </w:numPr>
      <w:jc w:val="both"/>
    </w:pPr>
    <w:rPr>
      <w:sz w:val="16"/>
      <w:szCs w:val="16"/>
    </w:rPr>
  </w:style>
  <w:style w:type="paragraph" w:customStyle="1" w:styleId="IndexTerms">
    <w:name w:val="IndexTerms"/>
    <w:basedOn w:val="a"/>
    <w:next w:val="a"/>
    <w:pPr>
      <w:ind w:firstLine="202"/>
      <w:jc w:val="both"/>
    </w:pPr>
    <w:rPr>
      <w:b/>
      <w:bCs/>
      <w:sz w:val="18"/>
      <w:szCs w:val="18"/>
    </w:rPr>
  </w:style>
  <w:style w:type="character" w:styleId="a6">
    <w:name w:val="footnote reference"/>
    <w:semiHidden/>
    <w:rPr>
      <w:vertAlign w:val="superscript"/>
    </w:rPr>
  </w:style>
  <w:style w:type="paragraph" w:styleId="a7">
    <w:name w:val="footer"/>
    <w:basedOn w:val="a"/>
    <w:link w:val="a8"/>
    <w:uiPriority w:val="99"/>
    <w:pPr>
      <w:tabs>
        <w:tab w:val="center" w:pos="4320"/>
        <w:tab w:val="right" w:pos="8640"/>
      </w:tabs>
    </w:pPr>
  </w:style>
  <w:style w:type="paragraph" w:customStyle="1" w:styleId="Text">
    <w:name w:val="Text"/>
    <w:basedOn w:val="a"/>
    <w:link w:val="TextChar"/>
    <w:pPr>
      <w:widowControl w:val="0"/>
      <w:spacing w:line="252" w:lineRule="auto"/>
      <w:ind w:firstLine="202"/>
      <w:jc w:val="both"/>
    </w:pPr>
  </w:style>
  <w:style w:type="paragraph" w:customStyle="1" w:styleId="FigureCaption">
    <w:name w:val="Figure Caption"/>
    <w:basedOn w:val="a"/>
    <w:pPr>
      <w:jc w:val="both"/>
    </w:pPr>
    <w:rPr>
      <w:sz w:val="16"/>
      <w:szCs w:val="16"/>
    </w:rPr>
  </w:style>
  <w:style w:type="paragraph" w:customStyle="1" w:styleId="TableTitle">
    <w:name w:val="Table Title"/>
    <w:basedOn w:val="a"/>
    <w:pPr>
      <w:jc w:val="center"/>
    </w:pPr>
    <w:rPr>
      <w:smallCaps/>
      <w:sz w:val="16"/>
      <w:szCs w:val="16"/>
    </w:rPr>
  </w:style>
  <w:style w:type="paragraph" w:customStyle="1" w:styleId="ReferenceHead">
    <w:name w:val="Reference Head"/>
    <w:basedOn w:val="1"/>
    <w:link w:val="ReferenceHeadChar"/>
  </w:style>
  <w:style w:type="paragraph" w:styleId="a9">
    <w:name w:val="header"/>
    <w:basedOn w:val="a"/>
    <w:pPr>
      <w:tabs>
        <w:tab w:val="center" w:pos="4320"/>
        <w:tab w:val="right" w:pos="8640"/>
      </w:tabs>
    </w:pPr>
  </w:style>
  <w:style w:type="paragraph" w:customStyle="1" w:styleId="Equation">
    <w:name w:val="Equation"/>
    <w:basedOn w:val="a"/>
    <w:next w:val="a"/>
    <w:pPr>
      <w:widowControl w:val="0"/>
      <w:tabs>
        <w:tab w:val="right" w:pos="5040"/>
      </w:tabs>
      <w:spacing w:line="252" w:lineRule="auto"/>
      <w:jc w:val="both"/>
    </w:pPr>
  </w:style>
  <w:style w:type="character" w:styleId="aa">
    <w:name w:val="Hyperlink"/>
    <w:rPr>
      <w:color w:val="0000FF"/>
      <w:u w:val="single"/>
    </w:rPr>
  </w:style>
  <w:style w:type="character" w:styleId="ab">
    <w:name w:val="FollowedHyperlink"/>
    <w:rPr>
      <w:color w:val="800080"/>
      <w:u w:val="single"/>
    </w:rPr>
  </w:style>
  <w:style w:type="paragraph" w:styleId="ac">
    <w:name w:val="Body Text Indent"/>
    <w:basedOn w:val="a"/>
    <w:link w:val="ad"/>
    <w:pPr>
      <w:ind w:left="630" w:hanging="630"/>
    </w:pPr>
    <w:rPr>
      <w:szCs w:val="24"/>
    </w:rPr>
  </w:style>
  <w:style w:type="paragraph" w:styleId="ae">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f">
    <w:name w:val="Balloon Text"/>
    <w:basedOn w:val="a"/>
    <w:link w:val="af0"/>
    <w:rsid w:val="00F33D49"/>
    <w:rPr>
      <w:rFonts w:ascii="Tahoma" w:hAnsi="Tahoma" w:cs="Tahoma"/>
      <w:sz w:val="16"/>
      <w:szCs w:val="16"/>
    </w:rPr>
  </w:style>
  <w:style w:type="character" w:customStyle="1" w:styleId="af0">
    <w:name w:val="註解方塊文字 字元"/>
    <w:link w:val="af"/>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0">
    <w:name w:val="標題 1 字元"/>
    <w:link w:val="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20">
    <w:name w:val="標題 2 字元"/>
    <w:link w:val="2"/>
    <w:uiPriority w:val="9"/>
    <w:rsid w:val="001B36B1"/>
    <w:rPr>
      <w:i/>
      <w:iCs/>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a8">
    <w:name w:val="頁尾 字元"/>
    <w:basedOn w:val="a0"/>
    <w:link w:val="a7"/>
    <w:uiPriority w:val="99"/>
    <w:rsid w:val="00D90C10"/>
  </w:style>
  <w:style w:type="character" w:customStyle="1" w:styleId="a5">
    <w:name w:val="註腳文字 字元"/>
    <w:link w:val="a4"/>
    <w:semiHidden/>
    <w:rsid w:val="00C075EF"/>
    <w:rPr>
      <w:sz w:val="16"/>
      <w:szCs w:val="16"/>
    </w:rPr>
  </w:style>
  <w:style w:type="character" w:customStyle="1" w:styleId="ad">
    <w:name w:val="本文縮排 字元"/>
    <w:link w:val="ac"/>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styleId="af1">
    <w:name w:val="Subtitle"/>
    <w:basedOn w:val="a"/>
    <w:next w:val="a"/>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a0"/>
    <w:uiPriority w:val="99"/>
    <w:semiHidden/>
    <w:unhideWhenUsed/>
    <w:rsid w:val="00A853F3"/>
    <w:rPr>
      <w:color w:val="605E5C"/>
      <w:shd w:val="clear" w:color="auto" w:fill="E1DFDD"/>
    </w:rPr>
  </w:style>
  <w:style w:type="character" w:styleId="af2">
    <w:name w:val="annotation reference"/>
    <w:basedOn w:val="a0"/>
    <w:uiPriority w:val="99"/>
    <w:semiHidden/>
    <w:unhideWhenUsed/>
    <w:rsid w:val="001E7EDB"/>
    <w:rPr>
      <w:sz w:val="16"/>
      <w:szCs w:val="16"/>
    </w:rPr>
  </w:style>
  <w:style w:type="paragraph" w:styleId="af3">
    <w:name w:val="annotation text"/>
    <w:basedOn w:val="a"/>
    <w:link w:val="af4"/>
    <w:uiPriority w:val="99"/>
    <w:semiHidden/>
    <w:unhideWhenUsed/>
    <w:rsid w:val="001E7EDB"/>
  </w:style>
  <w:style w:type="character" w:customStyle="1" w:styleId="af4">
    <w:name w:val="註解文字 字元"/>
    <w:basedOn w:val="a0"/>
    <w:link w:val="af3"/>
    <w:uiPriority w:val="99"/>
    <w:semiHidden/>
    <w:rsid w:val="001E7EDB"/>
  </w:style>
  <w:style w:type="paragraph" w:styleId="af5">
    <w:name w:val="annotation subject"/>
    <w:basedOn w:val="af3"/>
    <w:next w:val="af3"/>
    <w:link w:val="af6"/>
    <w:uiPriority w:val="99"/>
    <w:semiHidden/>
    <w:unhideWhenUsed/>
    <w:rsid w:val="001E7EDB"/>
    <w:rPr>
      <w:b/>
      <w:bCs/>
    </w:rPr>
  </w:style>
  <w:style w:type="character" w:customStyle="1" w:styleId="af6">
    <w:name w:val="註解主旨 字元"/>
    <w:basedOn w:val="af4"/>
    <w:link w:val="af5"/>
    <w:uiPriority w:val="99"/>
    <w:semiHidden/>
    <w:rsid w:val="001E7EDB"/>
    <w:rPr>
      <w:b/>
      <w:bCs/>
    </w:rPr>
  </w:style>
  <w:style w:type="paragraph" w:styleId="af7">
    <w:name w:val="List Paragraph"/>
    <w:basedOn w:val="a"/>
    <w:uiPriority w:val="34"/>
    <w:qFormat/>
    <w:rsid w:val="00DB3364"/>
    <w:pPr>
      <w:ind w:left="720"/>
      <w:contextualSpacing/>
    </w:pPr>
  </w:style>
  <w:style w:type="character" w:styleId="af8">
    <w:name w:val="Emphasis"/>
    <w:basedOn w:val="a0"/>
    <w:uiPriority w:val="20"/>
    <w:qFormat/>
    <w:rsid w:val="002947C5"/>
    <w:rPr>
      <w:i/>
      <w:iCs/>
    </w:rPr>
  </w:style>
  <w:style w:type="paragraph" w:styleId="Web">
    <w:name w:val="Normal (Web)"/>
    <w:basedOn w:val="a"/>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3.tiff"/><Relationship Id="rId26" Type="http://schemas.openxmlformats.org/officeDocument/2006/relationships/image" Target="media/image5.jpeg"/><Relationship Id="rId3" Type="http://schemas.openxmlformats.org/officeDocument/2006/relationships/numbering" Target="numbering.xml"/><Relationship Id="rId21" Type="http://schemas.openxmlformats.org/officeDocument/2006/relationships/hyperlink" Target="https://journals.ieeeauthorcenter.ieee.org/create-your-ieee-journal-article/create-the-text-of-your-article/ieee-editorial-style-manual/" TargetMode="External"/><Relationship Id="rId7" Type="http://schemas.openxmlformats.org/officeDocument/2006/relationships/footnotes" Target="footnotes.xml"/><Relationship Id="rId12" Type="http://schemas.openxmlformats.org/officeDocument/2006/relationships/hyperlink" Target="https://journals.ieeeauthorcenter.ieee.org/create-your-ieee-journal-article/create-the-text-of-your-article/structure-your-article/" TargetMode="External"/><Relationship Id="rId17" Type="http://schemas.openxmlformats.org/officeDocument/2006/relationships/image" Target="media/image2.png"/><Relationship Id="rId25" Type="http://schemas.openxmlformats.org/officeDocument/2006/relationships/hyperlink" Target="https://journals.ieeeauthorcenter.ieee.org/become-an-ieee-journal-author/publishing-ethics/guidelines-and-policies/" TargetMode="External"/><Relationship Id="rId2" Type="http://schemas.openxmlformats.org/officeDocument/2006/relationships/customXml" Target="../customXml/item2.xml"/><Relationship Id="rId16" Type="http://schemas.openxmlformats.org/officeDocument/2006/relationships/hyperlink" Target="http://journals.ieeeauthorcenter.ieee.org/wp-content/uploads/sites/7/IEEE-Math-Typesetting-Guide-for-MS-Word-Users.pdf" TargetMode="External"/><Relationship Id="rId20"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create-the-text-of-your-article/ieee-editorial-style-manual/" TargetMode="External"/><Relationship Id="rId24" Type="http://schemas.openxmlformats.org/officeDocument/2006/relationships/hyperlink" Target="https://www.ieee.org/publications/rights/index.html" TargetMode="External"/><Relationship Id="rId5" Type="http://schemas.openxmlformats.org/officeDocument/2006/relationships/settings" Target="settings.xml"/><Relationship Id="rId15" Type="http://schemas.openxmlformats.org/officeDocument/2006/relationships/hyperlink" Target="http://journals.ieeeauthorcenter.ieee.org/wp-content/uploads/sites/7/Editing-Mathematics.pdf" TargetMode="External"/><Relationship Id="rId23" Type="http://schemas.openxmlformats.org/officeDocument/2006/relationships/hyperlink" Target="https://www.ieee.org/publications/rights/index.html" TargetMode="External"/><Relationship Id="rId28" Type="http://schemas.openxmlformats.org/officeDocument/2006/relationships/theme" Target="theme/theme1.xml"/><Relationship Id="rId10" Type="http://schemas.openxmlformats.org/officeDocument/2006/relationships/hyperlink" Target="https://www.ieee.org/publications/services/thesaurus.html" TargetMode="External"/><Relationship Id="rId19" Type="http://schemas.openxmlformats.org/officeDocument/2006/relationships/image" Target="media/image4.wm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store.wiris.com/en/products/mathtype/download" TargetMode="External"/><Relationship Id="rId22" Type="http://schemas.openxmlformats.org/officeDocument/2006/relationships/hyperlink" Target="http://www.ieee.org/publications_standards/publications/authors/authors_submission.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4640</Words>
  <Characters>26453</Characters>
  <Application>Microsoft Office Word</Application>
  <DocSecurity>0</DocSecurity>
  <Lines>220</Lines>
  <Paragraphs>62</Paragraphs>
  <ScaleCrop>false</ScaleCrop>
  <Company/>
  <LinksUpToDate>false</LinksUpToDate>
  <CharactersWithSpaces>31031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比獸 何</cp:lastModifiedBy>
  <cp:revision>2</cp:revision>
  <dcterms:created xsi:type="dcterms:W3CDTF">2024-06-12T13:11:00Z</dcterms:created>
  <dcterms:modified xsi:type="dcterms:W3CDTF">2025-07-28T15:14:00Z</dcterms:modified>
</cp:coreProperties>
</file>