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5E20"/>
          <w:sz w:val="56"/>
          <w:szCs w:val="56"/>
        </w:rPr>
        <w:t xml:space="preserve">TENNICIRCLE</w:t>
      </w:r>
    </w:p>
    <w:p>
      <w:pPr>
        <w:spacing w:after="200"/>
        <w:jc w:val="center"/>
      </w:pPr>
      <w:r>
        <w:rPr>
          <w:rFonts w:ascii="Arial" w:cs="Arial" w:eastAsia="Arial" w:hAnsi="Arial"/>
          <w:color w:val="666666"/>
          <w:sz w:val="32"/>
          <w:szCs w:val="32"/>
        </w:rPr>
        <w:t xml:space="preserve">Concept Overview</w:t>
      </w:r>
    </w:p>
    <w:p>
      <w:pPr>
        <w:spacing w:after="600"/>
        <w:jc w:val="center"/>
      </w:pPr>
      <w:r>
        <w:rPr>
          <w:rFonts w:ascii="Arial" w:cs="Arial" w:eastAsia="Arial" w:hAnsi="Arial"/>
          <w:color w:val="888888"/>
          <w:sz w:val="24"/>
          <w:szCs w:val="24"/>
        </w:rPr>
        <w:t xml:space="preserve">A platform for tennis community management,
AI-assisted coaching &amp; events</w:t>
      </w:r>
    </w:p>
    <w:p>
      <w:pPr>
        <w:pBdr>
          <w:top w:val="single" w:color="1B5E20" w:sz="6" w:space="1"/>
        </w:pBdr>
        <w:jc w:val="center"/>
      </w:pPr>
    </w:p>
    <w:p>
      <w:pPr>
        <w:spacing w:before="2000"/>
      </w:pPr>
    </w:p>
    <w:p>
      <w:pPr>
        <w:spacing w:after="100"/>
        <w:jc w:val="center"/>
      </w:pPr>
      <w:r>
        <w:rPr>
          <w:rFonts w:ascii="Arial" w:cs="Arial" w:eastAsia="Arial" w:hAnsi="Arial"/>
          <w:color w:val="999999"/>
          <w:sz w:val="20"/>
          <w:szCs w:val="20"/>
        </w:rPr>
        <w:t xml:space="preserve">Version 1.0  |  April 2026  |  Confidential</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What Is Tennicircle?</w:t>
      </w:r>
    </w:p>
    <w:p>
      <w:pPr>
        <w:spacing w:after="200"/>
        <w:jc w:val="left"/>
      </w:pPr>
      <w:r>
        <w:rPr>
          <w:rFonts w:ascii="Arial" w:cs="Arial" w:eastAsia="Arial" w:hAnsi="Arial"/>
          <w:b w:val="false"/>
          <w:bCs w:val="false"/>
          <w:i w:val="false"/>
          <w:iCs w:val="false"/>
          <w:sz w:val="22"/>
          <w:szCs w:val="22"/>
        </w:rPr>
        <w:t xml:space="preserve">Tennicircle is a platform application designed to be the operating system for coach-led sports communities. It consolidates lesson booking, player management, AI-powered coaching, event organisation, and community engagement into a single integrated product.</w:t>
      </w:r>
    </w:p>
    <w:p>
      <w:pPr>
        <w:spacing w:after="200"/>
        <w:jc w:val="left"/>
      </w:pPr>
      <w:r>
        <w:rPr>
          <w:rFonts w:ascii="Arial" w:cs="Arial" w:eastAsia="Arial" w:hAnsi="Arial"/>
          <w:b w:val="false"/>
          <w:bCs w:val="false"/>
          <w:i w:val="false"/>
          <w:iCs w:val="false"/>
          <w:sz w:val="22"/>
          <w:szCs w:val="22"/>
        </w:rPr>
        <w:t xml:space="preserve">The platform is purpose-built for community owners and coaches who currently manage their operations across fragmented tools — WhatsApp groups for communication, spreadsheets for scheduling, manual processes for bookings, and no structured system for tracking player development or running events. Tennicircle replaces all of this with a unified experience for both the coach and their players.</w:t>
      </w:r>
    </w:p>
    <w:p>
      <w:pPr>
        <w:spacing w:after="200"/>
        <w:jc w:val="left"/>
      </w:pPr>
      <w:r>
        <w:rPr>
          <w:rFonts w:ascii="Arial" w:cs="Arial" w:eastAsia="Arial" w:hAnsi="Arial"/>
          <w:b w:val="false"/>
          <w:bCs w:val="false"/>
          <w:i w:val="false"/>
          <w:iCs w:val="false"/>
          <w:sz w:val="22"/>
          <w:szCs w:val="22"/>
        </w:rPr>
        <w:t xml:space="preserve">The initial deployment targets a single tennis community as a live proving ground, with the architecture and product design built from day one to support expansion across multiple communities and multiple sports.</w:t>
      </w:r>
    </w:p>
    <w:p>
      <w:pPr>
        <w:pStyle w:val="Heading1"/>
      </w:pPr>
      <w:r>
        <w:rPr>
          <w:rFonts w:ascii="Arial" w:cs="Arial" w:eastAsia="Arial" w:hAnsi="Arial"/>
        </w:rPr>
        <w:t xml:space="preserve">The Problem</w:t>
      </w:r>
    </w:p>
    <w:p>
      <w:pPr>
        <w:spacing w:after="200"/>
        <w:jc w:val="left"/>
      </w:pPr>
      <w:r>
        <w:rPr>
          <w:rFonts w:ascii="Arial" w:cs="Arial" w:eastAsia="Arial" w:hAnsi="Arial"/>
          <w:b w:val="false"/>
          <w:bCs w:val="false"/>
          <w:i w:val="false"/>
          <w:iCs w:val="false"/>
          <w:sz w:val="22"/>
          <w:szCs w:val="22"/>
        </w:rPr>
        <w:t xml:space="preserve">Community-based sports coaching is a growing segment, but the tooling available to coaches and community organisers has not kept pace. The typical workflow for a tennis community coach looks like this:</w:t>
      </w:r>
    </w:p>
    <w:p>
      <w:pPr>
        <w:pStyle w:val="ListParagraph"/>
        <w:numPr>
          <w:ilvl w:val="0"/>
          <w:numId w:val="2"/>
        </w:numPr>
        <w:spacing w:after="100"/>
      </w:pPr>
      <w:r>
        <w:rPr>
          <w:rFonts w:ascii="Arial" w:cs="Arial" w:eastAsia="Arial" w:hAnsi="Arial"/>
          <w:b/>
          <w:bCs/>
          <w:sz w:val="22"/>
          <w:szCs w:val="22"/>
        </w:rPr>
        <w:t xml:space="preserve">Scheduling and bookings </w:t>
      </w:r>
      <w:r>
        <w:rPr>
          <w:rFonts w:ascii="Arial" w:cs="Arial" w:eastAsia="Arial" w:hAnsi="Arial"/>
          <w:sz w:val="22"/>
          <w:szCs w:val="22"/>
        </w:rPr>
        <w:t xml:space="preserve">are handled through group chats, direct messages, or shared spreadsheets. There is no automated availability management, no waitlist system, and no way for players to self-serve.</w:t>
      </w:r>
    </w:p>
    <w:p>
      <w:pPr>
        <w:pStyle w:val="ListParagraph"/>
        <w:numPr>
          <w:ilvl w:val="0"/>
          <w:numId w:val="2"/>
        </w:numPr>
        <w:spacing w:after="100"/>
      </w:pPr>
      <w:r>
        <w:rPr>
          <w:rFonts w:ascii="Arial" w:cs="Arial" w:eastAsia="Arial" w:hAnsi="Arial"/>
          <w:b/>
          <w:bCs/>
          <w:sz w:val="22"/>
          <w:szCs w:val="22"/>
        </w:rPr>
        <w:t xml:space="preserve">Player records </w:t>
      </w:r>
      <w:r>
        <w:rPr>
          <w:rFonts w:ascii="Arial" w:cs="Arial" w:eastAsia="Arial" w:hAnsi="Arial"/>
          <w:sz w:val="22"/>
          <w:szCs w:val="22"/>
        </w:rPr>
        <w:t xml:space="preserve">are either non-existent or maintained manually. Coaches have no structured way to track a player’s lesson history, skill progression, attendance patterns, or development goals across sessions.</w:t>
      </w:r>
    </w:p>
    <w:p>
      <w:pPr>
        <w:pStyle w:val="ListParagraph"/>
        <w:numPr>
          <w:ilvl w:val="0"/>
          <w:numId w:val="2"/>
        </w:numPr>
        <w:spacing w:after="100"/>
      </w:pPr>
      <w:r>
        <w:rPr>
          <w:rFonts w:ascii="Arial" w:cs="Arial" w:eastAsia="Arial" w:hAnsi="Arial"/>
          <w:b/>
          <w:bCs/>
          <w:sz w:val="22"/>
          <w:szCs w:val="22"/>
        </w:rPr>
        <w:t xml:space="preserve">Events and competitions </w:t>
      </w:r>
      <w:r>
        <w:rPr>
          <w:rFonts w:ascii="Arial" w:cs="Arial" w:eastAsia="Arial" w:hAnsi="Arial"/>
          <w:sz w:val="22"/>
          <w:szCs w:val="22"/>
        </w:rPr>
        <w:t xml:space="preserve">require significant manual coordination — draw creation, scheduling around player availability, court allocation, scoring, and results tracking are all done by hand.</w:t>
      </w:r>
    </w:p>
    <w:p>
      <w:pPr>
        <w:pStyle w:val="ListParagraph"/>
        <w:numPr>
          <w:ilvl w:val="0"/>
          <w:numId w:val="2"/>
        </w:numPr>
        <w:spacing w:after="100"/>
      </w:pPr>
      <w:r>
        <w:rPr>
          <w:rFonts w:ascii="Arial" w:cs="Arial" w:eastAsia="Arial" w:hAnsi="Arial"/>
          <w:b/>
          <w:bCs/>
          <w:sz w:val="22"/>
          <w:szCs w:val="22"/>
        </w:rPr>
        <w:t xml:space="preserve">Coaching feedback </w:t>
      </w:r>
      <w:r>
        <w:rPr>
          <w:rFonts w:ascii="Arial" w:cs="Arial" w:eastAsia="Arial" w:hAnsi="Arial"/>
          <w:sz w:val="22"/>
          <w:szCs w:val="22"/>
        </w:rPr>
        <w:t xml:space="preserve">is verbal and ephemeral. Players receive corrections during a lesson but have no record of what was discussed, no way to review their technique between sessions, and no structured improvement plan to follow.</w:t>
      </w:r>
    </w:p>
    <w:p>
      <w:pPr>
        <w:pStyle w:val="ListParagraph"/>
        <w:numPr>
          <w:ilvl w:val="0"/>
          <w:numId w:val="2"/>
        </w:numPr>
        <w:spacing w:after="100"/>
      </w:pPr>
      <w:r>
        <w:rPr>
          <w:rFonts w:ascii="Arial" w:cs="Arial" w:eastAsia="Arial" w:hAnsi="Arial"/>
          <w:b/>
          <w:bCs/>
          <w:sz w:val="22"/>
          <w:szCs w:val="22"/>
        </w:rPr>
        <w:t xml:space="preserve">Community engagement </w:t>
      </w:r>
      <w:r>
        <w:rPr>
          <w:rFonts w:ascii="Arial" w:cs="Arial" w:eastAsia="Arial" w:hAnsi="Arial"/>
          <w:sz w:val="22"/>
          <w:szCs w:val="22"/>
        </w:rPr>
        <w:t xml:space="preserve">depends entirely on the coach’s personal effort to keep group chats active. There is no centralised hub where players can see upcoming events, community news, member profiles, or activity.</w:t>
      </w:r>
    </w:p>
    <w:p>
      <w:pPr>
        <w:spacing w:after="200"/>
        <w:jc w:val="left"/>
      </w:pPr>
      <w:r>
        <w:rPr>
          <w:rFonts w:ascii="Arial" w:cs="Arial" w:eastAsia="Arial" w:hAnsi="Arial"/>
          <w:b w:val="false"/>
          <w:bCs w:val="false"/>
          <w:i w:val="false"/>
          <w:iCs w:val="false"/>
          <w:sz w:val="22"/>
          <w:szCs w:val="22"/>
        </w:rPr>
        <w:t xml:space="preserve">This fragmentation creates a ceiling on how large a community can grow before administrative overhead becomes unmanageable. It also means the quality of the player experience degrades as the community scales — the opposite of what should happen.</w:t>
      </w:r>
    </w:p>
    <w:p>
      <w:pPr>
        <w:pStyle w:val="Heading1"/>
      </w:pPr>
      <w:r>
        <w:rPr>
          <w:rFonts w:ascii="Arial" w:cs="Arial" w:eastAsia="Arial" w:hAnsi="Arial"/>
        </w:rPr>
        <w:t xml:space="preserve">Platform Capabilities</w:t>
      </w:r>
    </w:p>
    <w:p>
      <w:pPr>
        <w:spacing w:after="200"/>
        <w:jc w:val="left"/>
      </w:pPr>
      <w:r>
        <w:rPr>
          <w:rFonts w:ascii="Arial" w:cs="Arial" w:eastAsia="Arial" w:hAnsi="Arial"/>
          <w:b w:val="false"/>
          <w:bCs w:val="false"/>
          <w:i w:val="false"/>
          <w:iCs w:val="false"/>
          <w:sz w:val="22"/>
          <w:szCs w:val="22"/>
        </w:rPr>
        <w:t xml:space="preserve">Tennicircle is designed as a phased product. Each phase builds on the last, adding capability while maintaining a focused, usable product at every stage.</w:t>
      </w:r>
    </w:p>
    <w:p>
      <w:pPr>
        <w:pStyle w:val="Heading2"/>
      </w:pPr>
      <w:r>
        <w:rPr>
          <w:rFonts w:ascii="Arial" w:cs="Arial" w:eastAsia="Arial" w:hAnsi="Arial"/>
        </w:rPr>
        <w:t xml:space="preserve">Phase 1: Core Platform</w:t>
      </w:r>
    </w:p>
    <w:p>
      <w:pPr>
        <w:spacing w:after="200"/>
        <w:jc w:val="left"/>
      </w:pPr>
      <w:r>
        <w:rPr>
          <w:rFonts w:ascii="Arial" w:cs="Arial" w:eastAsia="Arial" w:hAnsi="Arial"/>
          <w:b w:val="false"/>
          <w:bCs w:val="false"/>
          <w:i w:val="false"/>
          <w:iCs w:val="false"/>
          <w:sz w:val="22"/>
          <w:szCs w:val="22"/>
        </w:rPr>
        <w:t xml:space="preserve">The foundation layer that digitises the community’s core operations and establishes the platform as the single point of interaction for both coach and players.</w:t>
      </w:r>
    </w:p>
    <w:p>
      <w:pPr>
        <w:pStyle w:val="Heading3"/>
      </w:pPr>
      <w:r>
        <w:rPr>
          <w:rFonts w:ascii="Arial" w:cs="Arial" w:eastAsia="Arial" w:hAnsi="Arial"/>
        </w:rPr>
        <w:t xml:space="preserve">Lesson Booking Engine</w:t>
      </w:r>
    </w:p>
    <w:p>
      <w:pPr>
        <w:spacing w:after="200"/>
        <w:jc w:val="left"/>
      </w:pPr>
      <w:r>
        <w:rPr>
          <w:rFonts w:ascii="Arial" w:cs="Arial" w:eastAsia="Arial" w:hAnsi="Arial"/>
          <w:b w:val="false"/>
          <w:bCs w:val="false"/>
          <w:i w:val="false"/>
          <w:iCs w:val="false"/>
          <w:sz w:val="22"/>
          <w:szCs w:val="22"/>
        </w:rPr>
        <w:t xml:space="preserve">A calendar-based booking system where the coach defines available time slots (individual lessons, group sessions, clinics) and players browse and book directly. The system handles confirmations, automated reminders via push notification and email, cancellation policies with configurable windows, waitlist management with automatic promotion when spots open, recurring booking support for weekly schedules, and group lesson capacity management with minimum/maximum player thresholds.</w:t>
      </w:r>
    </w:p>
    <w:p>
      <w:pPr>
        <w:spacing w:after="200"/>
        <w:jc w:val="left"/>
      </w:pPr>
      <w:r>
        <w:rPr>
          <w:rFonts w:ascii="Arial" w:cs="Arial" w:eastAsia="Arial" w:hAnsi="Arial"/>
          <w:b w:val="false"/>
          <w:bCs w:val="false"/>
          <w:i w:val="false"/>
          <w:iCs w:val="false"/>
          <w:sz w:val="22"/>
          <w:szCs w:val="22"/>
        </w:rPr>
        <w:t xml:space="preserve">The booking engine is designed to be the first feature that eliminates manual work. Once players can self-serve their bookings, the coach reclaims significant time currently spent on coordination.</w:t>
      </w:r>
    </w:p>
    <w:p>
      <w:pPr>
        <w:pStyle w:val="Heading3"/>
      </w:pPr>
      <w:r>
        <w:rPr>
          <w:rFonts w:ascii="Arial" w:cs="Arial" w:eastAsia="Arial" w:hAnsi="Arial"/>
        </w:rPr>
        <w:t xml:space="preserve">Player Profiles &amp; Development Tracking</w:t>
      </w:r>
    </w:p>
    <w:p>
      <w:pPr>
        <w:spacing w:after="200"/>
        <w:jc w:val="left"/>
      </w:pPr>
      <w:r>
        <w:rPr>
          <w:rFonts w:ascii="Arial" w:cs="Arial" w:eastAsia="Arial" w:hAnsi="Arial"/>
          <w:b w:val="false"/>
          <w:bCs w:val="false"/>
          <w:i w:val="false"/>
          <w:iCs w:val="false"/>
          <w:sz w:val="22"/>
          <w:szCs w:val="22"/>
        </w:rPr>
        <w:t xml:space="preserve">Each player has a structured profile containing their self-assessed and coach-assessed skill level, playing style and preferences (singles/doubles, baseline/net), development goals, complete lesson history with dates, session type, and coach, match history and results from community events, and coach session notes visible to the player after each lesson.</w:t>
      </w:r>
    </w:p>
    <w:p>
      <w:pPr>
        <w:spacing w:after="200"/>
        <w:jc w:val="left"/>
      </w:pPr>
      <w:r>
        <w:rPr>
          <w:rFonts w:ascii="Arial" w:cs="Arial" w:eastAsia="Arial" w:hAnsi="Arial"/>
          <w:b w:val="false"/>
          <w:bCs w:val="false"/>
          <w:i w:val="false"/>
          <w:iCs w:val="false"/>
          <w:sz w:val="22"/>
          <w:szCs w:val="22"/>
        </w:rPr>
        <w:t xml:space="preserve">This creates a persistent record of each player’s journey within the community. For the coach, it provides a complete view of every player’s history and progress. For the player, it creates a sense of investment and progression that increases retention.</w:t>
      </w:r>
    </w:p>
    <w:p>
      <w:pPr>
        <w:pStyle w:val="Heading3"/>
      </w:pPr>
      <w:r>
        <w:rPr>
          <w:rFonts w:ascii="Arial" w:cs="Arial" w:eastAsia="Arial" w:hAnsi="Arial"/>
        </w:rPr>
        <w:t xml:space="preserve">Community Hub</w:t>
      </w:r>
    </w:p>
    <w:p>
      <w:pPr>
        <w:spacing w:after="200"/>
        <w:jc w:val="left"/>
      </w:pPr>
      <w:r>
        <w:rPr>
          <w:rFonts w:ascii="Arial" w:cs="Arial" w:eastAsia="Arial" w:hAnsi="Arial"/>
          <w:b w:val="false"/>
          <w:bCs w:val="false"/>
          <w:i w:val="false"/>
          <w:iCs w:val="false"/>
          <w:sz w:val="22"/>
          <w:szCs w:val="22"/>
        </w:rPr>
        <w:t xml:space="preserve">A centralised space for community interaction that replaces scattered group chats. This includes a member directory where players can view profiles and connect, an announcements board for the coach to post news, schedule changes, and updates, an activity feed showing recent bookings, event results, new members, and milestones, and a community leaderboard based on event participation and results.</w:t>
      </w:r>
    </w:p>
    <w:p>
      <w:pPr>
        <w:pStyle w:val="Heading3"/>
      </w:pPr>
      <w:r>
        <w:rPr>
          <w:rFonts w:ascii="Arial" w:cs="Arial" w:eastAsia="Arial" w:hAnsi="Arial"/>
        </w:rPr>
        <w:t xml:space="preserve">Event Management System</w:t>
      </w:r>
    </w:p>
    <w:p>
      <w:pPr>
        <w:spacing w:after="200"/>
        <w:jc w:val="left"/>
      </w:pPr>
      <w:r>
        <w:rPr>
          <w:rFonts w:ascii="Arial" w:cs="Arial" w:eastAsia="Arial" w:hAnsi="Arial"/>
          <w:b w:val="false"/>
          <w:bCs w:val="false"/>
          <w:i w:val="false"/>
          <w:iCs w:val="false"/>
          <w:sz w:val="22"/>
          <w:szCs w:val="22"/>
        </w:rPr>
        <w:t xml:space="preserve">A full event lifecycle management tool supporting multiple competition formats: round-robin groups, ladder rankings, single and double elimination brackets, and social/mixer events. The system handles player registration and entry management, automated draw generation and match scheduling factoring in player availability and court allocation, live scoring and real-time results updates, historical results and persistent rankings, and event-specific communication channels.</w:t>
      </w:r>
    </w:p>
    <w:p>
      <w:pPr>
        <w:spacing w:after="200"/>
        <w:jc w:val="left"/>
      </w:pPr>
      <w:r>
        <w:rPr>
          <w:rFonts w:ascii="Arial" w:cs="Arial" w:eastAsia="Arial" w:hAnsi="Arial"/>
          <w:b w:val="false"/>
          <w:bCs w:val="false"/>
          <w:i w:val="false"/>
          <w:iCs w:val="false"/>
          <w:sz w:val="22"/>
          <w:szCs w:val="22"/>
        </w:rPr>
        <w:t xml:space="preserve">Events are a core engagement driver. They give players a reason to come back beyond lessons, and they create the community stickiness that makes the platform hard to leave.</w:t>
      </w:r>
    </w:p>
    <w:p>
      <w:pPr>
        <w:pStyle w:val="Heading3"/>
      </w:pPr>
      <w:r>
        <w:rPr>
          <w:rFonts w:ascii="Arial" w:cs="Arial" w:eastAsia="Arial" w:hAnsi="Arial"/>
        </w:rPr>
        <w:t xml:space="preserve">Coach Dashboard</w:t>
      </w:r>
    </w:p>
    <w:p>
      <w:pPr>
        <w:spacing w:after="200"/>
        <w:jc w:val="left"/>
      </w:pPr>
      <w:r>
        <w:rPr>
          <w:rFonts w:ascii="Arial" w:cs="Arial" w:eastAsia="Arial" w:hAnsi="Arial"/>
          <w:b w:val="false"/>
          <w:bCs w:val="false"/>
          <w:i w:val="false"/>
          <w:iCs w:val="false"/>
          <w:sz w:val="22"/>
          <w:szCs w:val="22"/>
        </w:rPr>
        <w:t xml:space="preserve">The coach’s command centre providing a daily and weekly schedule overview with upcoming lessons and player counts, player management tools to view all players, their progress, attendance patterns, and engagement, revenue tracking showing lesson income, subscription metrics, and payment status, community health metrics including active member counts, event participation rates, booking trends, and churn indicators.</w:t>
      </w:r>
    </w:p>
    <w:p>
      <w:r>
        <w:br w:type="page"/>
      </w:r>
    </w:p>
    <w:p>
      <w:pPr>
        <w:pStyle w:val="Heading2"/>
      </w:pPr>
      <w:r>
        <w:rPr>
          <w:rFonts w:ascii="Arial" w:cs="Arial" w:eastAsia="Arial" w:hAnsi="Arial"/>
        </w:rPr>
        <w:t xml:space="preserve">Phase 2: AI-Assisted Coaching</w:t>
      </w:r>
    </w:p>
    <w:p>
      <w:pPr>
        <w:spacing w:after="200"/>
        <w:jc w:val="left"/>
      </w:pPr>
      <w:r>
        <w:rPr>
          <w:rFonts w:ascii="Arial" w:cs="Arial" w:eastAsia="Arial" w:hAnsi="Arial"/>
          <w:b w:val="false"/>
          <w:bCs w:val="false"/>
          <w:i w:val="false"/>
          <w:iCs w:val="false"/>
          <w:sz w:val="22"/>
          <w:szCs w:val="22"/>
        </w:rPr>
        <w:t xml:space="preserve">This phase introduces the feature that makes Tennicircle fundamentally different from any existing sports community tool: AI-powered technique analysis with human coach oversight.</w:t>
      </w:r>
    </w:p>
    <w:p>
      <w:pPr>
        <w:pStyle w:val="Heading3"/>
      </w:pPr>
      <w:r>
        <w:rPr>
          <w:rFonts w:ascii="Arial" w:cs="Arial" w:eastAsia="Arial" w:hAnsi="Arial"/>
        </w:rPr>
        <w:t xml:space="preserve">How It Works</w:t>
      </w:r>
    </w:p>
    <w:p>
      <w:pPr>
        <w:spacing w:after="200"/>
        <w:jc w:val="left"/>
      </w:pPr>
      <w:r>
        <w:rPr>
          <w:rFonts w:ascii="Arial" w:cs="Arial" w:eastAsia="Arial" w:hAnsi="Arial"/>
          <w:b w:val="false"/>
          <w:bCs w:val="false"/>
          <w:i w:val="false"/>
          <w:iCs w:val="false"/>
          <w:sz w:val="22"/>
          <w:szCs w:val="22"/>
        </w:rPr>
        <w:t xml:space="preserve">Players upload video clips or photos of themselves playing — during practice, matches, or casual hit-ups. The platform’s AI engine processes this media and analyses multiple dimensions of the player’s game:</w:t>
      </w:r>
    </w:p>
    <w:p>
      <w:pPr>
        <w:pStyle w:val="ListParagraph"/>
        <w:numPr>
          <w:ilvl w:val="0"/>
          <w:numId w:val="3"/>
        </w:numPr>
        <w:spacing w:after="100"/>
      </w:pPr>
      <w:r>
        <w:rPr>
          <w:rFonts w:ascii="Arial" w:cs="Arial" w:eastAsia="Arial" w:hAnsi="Arial"/>
          <w:b/>
          <w:bCs/>
          <w:sz w:val="22"/>
          <w:szCs w:val="22"/>
        </w:rPr>
        <w:t xml:space="preserve">Form and technique analysis — </w:t>
      </w:r>
      <w:r>
        <w:rPr>
          <w:rFonts w:ascii="Arial" w:cs="Arial" w:eastAsia="Arial" w:hAnsi="Arial"/>
          <w:sz w:val="22"/>
          <w:szCs w:val="22"/>
        </w:rPr>
        <w:t xml:space="preserve">grip positioning, stance, swing path, follow-through, body rotation, and footwork patterns. The AI identifies deviations from optimal technique and provides specific, actionable feedback.</w:t>
      </w:r>
    </w:p>
    <w:p>
      <w:pPr>
        <w:pStyle w:val="ListParagraph"/>
        <w:numPr>
          <w:ilvl w:val="0"/>
          <w:numId w:val="3"/>
        </w:numPr>
        <w:spacing w:after="100"/>
      </w:pPr>
      <w:r>
        <w:rPr>
          <w:rFonts w:ascii="Arial" w:cs="Arial" w:eastAsia="Arial" w:hAnsi="Arial"/>
          <w:b/>
          <w:bCs/>
          <w:sz w:val="22"/>
          <w:szCs w:val="22"/>
        </w:rPr>
        <w:t xml:space="preserve">Positional awareness — </w:t>
      </w:r>
      <w:r>
        <w:rPr>
          <w:rFonts w:ascii="Arial" w:cs="Arial" w:eastAsia="Arial" w:hAnsi="Arial"/>
          <w:sz w:val="22"/>
          <w:szCs w:val="22"/>
        </w:rPr>
        <w:t xml:space="preserve">court positioning during rallies, recovery positioning after shots, net approach timing, and movement efficiency.</w:t>
      </w:r>
    </w:p>
    <w:p>
      <w:pPr>
        <w:pStyle w:val="ListParagraph"/>
        <w:numPr>
          <w:ilvl w:val="0"/>
          <w:numId w:val="3"/>
        </w:numPr>
        <w:spacing w:after="100"/>
      </w:pPr>
      <w:r>
        <w:rPr>
          <w:rFonts w:ascii="Arial" w:cs="Arial" w:eastAsia="Arial" w:hAnsi="Arial"/>
          <w:b/>
          <w:bCs/>
          <w:sz w:val="22"/>
          <w:szCs w:val="22"/>
        </w:rPr>
        <w:t xml:space="preserve">Consistency tracking — </w:t>
      </w:r>
      <w:r>
        <w:rPr>
          <w:rFonts w:ascii="Arial" w:cs="Arial" w:eastAsia="Arial" w:hAnsi="Arial"/>
          <w:sz w:val="22"/>
          <w:szCs w:val="22"/>
        </w:rPr>
        <w:t xml:space="preserve">over time, the AI compares current form against previous uploads to identify improvements, regressions, or persistent habits that need attention.</w:t>
      </w:r>
    </w:p>
    <w:p>
      <w:pPr>
        <w:spacing w:after="200"/>
        <w:jc w:val="left"/>
      </w:pPr>
      <w:r>
        <w:rPr>
          <w:rFonts w:ascii="Arial" w:cs="Arial" w:eastAsia="Arial" w:hAnsi="Arial"/>
          <w:b w:val="false"/>
          <w:bCs w:val="false"/>
          <w:i w:val="false"/>
          <w:iCs w:val="false"/>
          <w:sz w:val="22"/>
          <w:szCs w:val="22"/>
        </w:rPr>
        <w:t xml:space="preserve">The AI generates a structured feedback report for each upload. This is where the coach’s role becomes critical: the coach reviews the AI analysis, confirms or adjusts the feedback, adds their own observations and context (things the AI cannot know, like the player’s recent injury or tactical goals), and prescribes specific drills or focus areas for the next session.</w:t>
      </w:r>
    </w:p>
    <w:p>
      <w:pPr>
        <w:spacing w:after="200"/>
        <w:jc w:val="left"/>
      </w:pPr>
      <w:r>
        <w:rPr>
          <w:rFonts w:ascii="Arial" w:cs="Arial" w:eastAsia="Arial" w:hAnsi="Arial"/>
          <w:b w:val="false"/>
          <w:bCs w:val="false"/>
          <w:i w:val="false"/>
          <w:iCs w:val="false"/>
          <w:sz w:val="22"/>
          <w:szCs w:val="22"/>
        </w:rPr>
        <w:t xml:space="preserve">This creates a continuous coaching loop that extends beyond lesson time. Players get feedback between sessions, coaches can monitor development remotely, and the AI handles the time-consuming analysis work so the coach can focus on the high-value human elements — motivation, strategy, and personalised guidance.</w:t>
      </w:r>
    </w:p>
    <w:p>
      <w:pPr>
        <w:pStyle w:val="Heading3"/>
      </w:pPr>
      <w:r>
        <w:rPr>
          <w:rFonts w:ascii="Arial" w:cs="Arial" w:eastAsia="Arial" w:hAnsi="Arial"/>
        </w:rPr>
        <w:t xml:space="preserve">Technical Approach</w:t>
      </w:r>
    </w:p>
    <w:p>
      <w:pPr>
        <w:spacing w:after="200"/>
        <w:jc w:val="left"/>
      </w:pPr>
      <w:r>
        <w:rPr>
          <w:rFonts w:ascii="Arial" w:cs="Arial" w:eastAsia="Arial" w:hAnsi="Arial"/>
          <w:b w:val="false"/>
          <w:bCs w:val="false"/>
          <w:i w:val="false"/>
          <w:iCs w:val="false"/>
          <w:sz w:val="22"/>
          <w:szCs w:val="22"/>
        </w:rPr>
        <w:t xml:space="preserve">The AI coaching layer leverages multimodal large language models (such as Claude or GPT-4 Vision) that can process video frames and images with increasing sophistication. The approach involves frame extraction from uploaded video at key moments (serve motion, groundstroke contact, volley positioning), structured prompting that provides the AI with sport-specific context and evaluation criteria, progressive learning where the system builds a per-player baseline and measures change over time, and a coach review workflow that ensures AI suggestions are always mediated by human expertise before reaching the player.</w:t>
      </w:r>
    </w:p>
    <w:p>
      <w:pPr>
        <w:spacing w:after="200"/>
        <w:jc w:val="left"/>
      </w:pPr>
      <w:r>
        <w:rPr>
          <w:rFonts w:ascii="Arial" w:cs="Arial" w:eastAsia="Arial" w:hAnsi="Arial"/>
          <w:b w:val="false"/>
          <w:bCs w:val="false"/>
          <w:i w:val="false"/>
          <w:iCs w:val="false"/>
          <w:sz w:val="22"/>
          <w:szCs w:val="22"/>
        </w:rPr>
        <w:t xml:space="preserve">This is not about replacing the coach. It is about giving the coach a scalable tool that extends their reach. A coach working with 50+ players cannot provide detailed technique feedback to everyone between sessions. The AI can.</w:t>
      </w:r>
    </w:p>
    <w:p>
      <w:pPr>
        <w:pStyle w:val="Heading3"/>
      </w:pPr>
      <w:r>
        <w:rPr>
          <w:rFonts w:ascii="Arial" w:cs="Arial" w:eastAsia="Arial" w:hAnsi="Arial"/>
        </w:rPr>
        <w:t xml:space="preserve">Progress Analytics</w:t>
      </w:r>
    </w:p>
    <w:p>
      <w:pPr>
        <w:spacing w:after="200"/>
        <w:jc w:val="left"/>
      </w:pPr>
      <w:r>
        <w:rPr>
          <w:rFonts w:ascii="Arial" w:cs="Arial" w:eastAsia="Arial" w:hAnsi="Arial"/>
          <w:b w:val="false"/>
          <w:bCs w:val="false"/>
          <w:i w:val="false"/>
          <w:iCs w:val="false"/>
          <w:sz w:val="22"/>
          <w:szCs w:val="22"/>
        </w:rPr>
        <w:t xml:space="preserve">Visual dashboards showing improvement trajectories over time, areas of strength and areas needing work, lesson-to-improvement correlation, and anonymised benchmarking against community averages. These analytics give both the coach and the player a data-driven view of development that complements the qualitative coaching relationship.</w:t>
      </w:r>
    </w:p>
    <w:p>
      <w:pPr>
        <w:pStyle w:val="Heading2"/>
      </w:pPr>
      <w:r>
        <w:rPr>
          <w:rFonts w:ascii="Arial" w:cs="Arial" w:eastAsia="Arial" w:hAnsi="Arial"/>
        </w:rPr>
        <w:t xml:space="preserve">Phase 3: Expansion</w:t>
      </w:r>
    </w:p>
    <w:p>
      <w:pPr>
        <w:spacing w:after="200"/>
        <w:jc w:val="left"/>
      </w:pPr>
      <w:r>
        <w:rPr>
          <w:rFonts w:ascii="Arial" w:cs="Arial" w:eastAsia="Arial" w:hAnsi="Arial"/>
          <w:b w:val="false"/>
          <w:bCs w:val="false"/>
          <w:i w:val="false"/>
          <w:iCs w:val="false"/>
          <w:sz w:val="22"/>
          <w:szCs w:val="22"/>
        </w:rPr>
        <w:t xml:space="preserve">Phase 3 transitions Tennicircle from a single-community tool to a multi-community, multi-sport platform.</w:t>
      </w:r>
    </w:p>
    <w:p>
      <w:pPr>
        <w:pStyle w:val="Heading3"/>
      </w:pPr>
      <w:r>
        <w:rPr>
          <w:rFonts w:ascii="Arial" w:cs="Arial" w:eastAsia="Arial" w:hAnsi="Arial"/>
        </w:rPr>
        <w:t xml:space="preserve">Multi-Tenancy</w:t>
      </w:r>
    </w:p>
    <w:p>
      <w:pPr>
        <w:spacing w:after="200"/>
        <w:jc w:val="left"/>
      </w:pPr>
      <w:r>
        <w:rPr>
          <w:rFonts w:ascii="Arial" w:cs="Arial" w:eastAsia="Arial" w:hAnsi="Arial"/>
          <w:b w:val="false"/>
          <w:bCs w:val="false"/>
          <w:i w:val="false"/>
          <w:iCs w:val="false"/>
          <w:sz w:val="22"/>
          <w:szCs w:val="22"/>
        </w:rPr>
        <w:t xml:space="preserve">The platform architecture supports multiple independent communities, each with their own branding, member base, events, and settings. Communities operate in isolation while sharing the underlying infrastructure. This is designed into the data model from Phase 1 to avoid costly migration later.</w:t>
      </w:r>
    </w:p>
    <w:p>
      <w:pPr>
        <w:pStyle w:val="Heading3"/>
      </w:pPr>
      <w:r>
        <w:rPr>
          <w:rFonts w:ascii="Arial" w:cs="Arial" w:eastAsia="Arial" w:hAnsi="Arial"/>
        </w:rPr>
        <w:t xml:space="preserve">Sport-Agnostic Framework</w:t>
      </w:r>
    </w:p>
    <w:p>
      <w:pPr>
        <w:spacing w:after="200"/>
        <w:jc w:val="left"/>
      </w:pPr>
      <w:r>
        <w:rPr>
          <w:rFonts w:ascii="Arial" w:cs="Arial" w:eastAsia="Arial" w:hAnsi="Arial"/>
          <w:b w:val="false"/>
          <w:bCs w:val="false"/>
          <w:i w:val="false"/>
          <w:iCs w:val="false"/>
          <w:sz w:val="22"/>
          <w:szCs w:val="22"/>
        </w:rPr>
        <w:t xml:space="preserve">While the initial product is tennis-specific, the core platform capabilities (booking, profiles, events, AI coaching, community management) are applicable to any coach-led sport. Golf communities, basketball training groups, swimming squads, martial arts dojos — the same operational challenges exist across all of them. Phase 3 introduces a sport configuration layer that allows each community to customise terminology, skill frameworks, event formats, and AI coaching criteria for their sport.</w:t>
      </w:r>
    </w:p>
    <w:p>
      <w:pPr>
        <w:pStyle w:val="Heading3"/>
      </w:pPr>
      <w:r>
        <w:rPr>
          <w:rFonts w:ascii="Arial" w:cs="Arial" w:eastAsia="Arial" w:hAnsi="Arial"/>
        </w:rPr>
        <w:t xml:space="preserve">Pro-Shop &amp; Marketplace Integration</w:t>
      </w:r>
    </w:p>
    <w:p>
      <w:pPr>
        <w:spacing w:after="200"/>
        <w:jc w:val="left"/>
      </w:pPr>
      <w:r>
        <w:rPr>
          <w:rFonts w:ascii="Arial" w:cs="Arial" w:eastAsia="Arial" w:hAnsi="Arial"/>
          <w:b w:val="false"/>
          <w:bCs w:val="false"/>
          <w:i w:val="false"/>
          <w:iCs w:val="false"/>
          <w:sz w:val="22"/>
          <w:szCs w:val="22"/>
        </w:rPr>
        <w:t xml:space="preserve">Many community coaches and owners operate adjacent businesses — pro-shops, equipment rental, merchandise, or facility management. Tennicircle can extend into this space by integrating an in-app storefront where community owners can list and sell equipment, apparel, and accessories directly to their members. This creates a natural upsell channel: the coach recommends a specific racquet string tension during an AI coaching review, and the player can purchase the restring directly through the platform. For community owners who already run a pro-shop, this brings their retail operation into the same ecosystem as their coaching and events, simplifying operations and increasing per-member revenue.</w:t>
      </w:r>
    </w:p>
    <w:p>
      <w:pPr>
        <w:pStyle w:val="Heading3"/>
      </w:pPr>
      <w:r>
        <w:rPr>
          <w:rFonts w:ascii="Arial" w:cs="Arial" w:eastAsia="Arial" w:hAnsi="Arial"/>
        </w:rPr>
        <w:t xml:space="preserve">White-Label &amp; Licensing</w:t>
      </w:r>
    </w:p>
    <w:p>
      <w:pPr>
        <w:spacing w:after="200"/>
        <w:jc w:val="left"/>
      </w:pPr>
      <w:r>
        <w:rPr>
          <w:rFonts w:ascii="Arial" w:cs="Arial" w:eastAsia="Arial" w:hAnsi="Arial"/>
          <w:b w:val="false"/>
          <w:bCs w:val="false"/>
          <w:i w:val="false"/>
          <w:iCs w:val="false"/>
          <w:sz w:val="22"/>
          <w:szCs w:val="22"/>
        </w:rPr>
        <w:t xml:space="preserve">Larger organisations (tennis clubs, sports academies, franchise operations) may want a branded version of the platform. A white-label offering allows these organisations to deploy Tennicircle under their own brand while benefiting from the platform’s ongoing development and AI capabilities.</w:t>
      </w:r>
    </w:p>
    <w:p>
      <w:r>
        <w:br w:type="page"/>
      </w:r>
    </w:p>
    <w:p>
      <w:pPr>
        <w:pStyle w:val="Heading1"/>
      </w:pPr>
      <w:r>
        <w:rPr>
          <w:rFonts w:ascii="Arial" w:cs="Arial" w:eastAsia="Arial" w:hAnsi="Arial"/>
        </w:rPr>
        <w:t xml:space="preserve">Expansion Opportunities</w:t>
      </w:r>
    </w:p>
    <w:p>
      <w:pPr>
        <w:spacing w:after="200"/>
        <w:jc w:val="left"/>
      </w:pPr>
      <w:r>
        <w:rPr>
          <w:rFonts w:ascii="Arial" w:cs="Arial" w:eastAsia="Arial" w:hAnsi="Arial"/>
          <w:b w:val="false"/>
          <w:bCs w:val="false"/>
          <w:i w:val="false"/>
          <w:iCs w:val="false"/>
          <w:sz w:val="22"/>
          <w:szCs w:val="22"/>
        </w:rPr>
        <w:t xml:space="preserve">One of Tennicircle’s strongest characteristics is the breadth of expansion paths available once the core platform is established. The initial product is deliberately focused, but the architecture and market position open up significant growth vectors: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2"/>
                <w:szCs w:val="22"/>
              </w:rPr>
              <w:t xml:space="preserve">Opportunity</w:t>
            </w:r>
          </w:p>
        </w:tc>
        <w:tc>
          <w:tcPr>
            <w:tcW w:type="dxa" w:w="351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351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2"/>
                <w:szCs w:val="22"/>
              </w:rPr>
              <w:t xml:space="preserve">Value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Multi-sport expansion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Golf, basketball, swimming, martial arts — any coach-led community sport faces the same operational pain points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Massively increases addressable market beyond tennis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Pro-shop integration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In-app storefront for equipment, apparel, accessories, restringing, and merchandise tied directly to the coaching experience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New revenue stream for community owners; increases platform stickiness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Facility management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Court booking, facility hire, lighting schedules, and maintenance management for owners who also manage physical venues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Extends platform from coaching tool to full venue operating system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Coach marketplace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 discovery platform where players can find coaches and communities in their area, book trial sessions, and read reviews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Network effects — more coaches attract more players, and vice versa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Sponsored content &amp; partnerships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Equipment brands, sportswear companies, and local businesses can partner with communities for targeted promotions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Advertising revenue without degrading user experience — promotions are contextually relevant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Video coaching marketplace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Open AI coaching analysis to non-community members as a standalone paid service. Players upload footage and receive AI feedback without needing a community membership</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Standalone B2C revenue stream; funnel into community memberships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White-label licensing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Large clubs, academies, and franchise operations deploy a branded version of the platform under their own identity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Enterprise-tier revenue; recurring licensing fees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Data &amp; insights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Aggregated, anonymised data on player development trends, popular formats, retention patterns, and community health benchmarks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Valuable to sporting bodies, equipment manufacturers, and coaches for evidence-based decision making</w:t>
            </w:r>
          </w:p>
        </w:tc>
      </w:tr>
    </w:tbl>
    <w:p>
      <w:pPr>
        <w:spacing w:after="200"/>
        <w:jc w:val="left"/>
      </w:pPr>
      <w:r>
        <w:rPr>
          <w:rFonts w:ascii="Arial" w:cs="Arial" w:eastAsia="Arial" w:hAnsi="Arial"/>
          <w:b w:val="false"/>
          <w:bCs w:val="false"/>
          <w:i w:val="false"/>
          <w:iCs w:val="false"/>
          <w:sz w:val="22"/>
          <w:szCs w:val="22"/>
        </w:rPr>
        <w:t xml:space="preserve"/>
      </w:r>
    </w:p>
    <w:p>
      <w:pPr>
        <w:spacing w:after="200"/>
        <w:jc w:val="left"/>
      </w:pPr>
      <w:r>
        <w:rPr>
          <w:rFonts w:ascii="Arial" w:cs="Arial" w:eastAsia="Arial" w:hAnsi="Arial"/>
          <w:b w:val="false"/>
          <w:bCs w:val="false"/>
          <w:i w:val="false"/>
          <w:iCs w:val="false"/>
          <w:sz w:val="22"/>
          <w:szCs w:val="22"/>
        </w:rPr>
        <w:t xml:space="preserve">The key principle is that each expansion path is unlocked by the core platform’s success, not by pivoting away from it. A thriving single-community tennis product naturally leads to multi-community demand. A coach who manages bookings and coaching through the platform naturally wants to sell equipment through it too. Each layer compounds the value of the one before it.</w:t>
      </w:r>
    </w:p>
    <w:p>
      <w:pPr>
        <w:pStyle w:val="Heading1"/>
      </w:pPr>
      <w:r>
        <w:rPr>
          <w:rFonts w:ascii="Arial" w:cs="Arial" w:eastAsia="Arial" w:hAnsi="Arial"/>
        </w:rPr>
        <w:t xml:space="preserve">Revenue Model</w:t>
      </w:r>
    </w:p>
    <w:p>
      <w:pPr>
        <w:spacing w:after="200"/>
        <w:jc w:val="left"/>
      </w:pPr>
      <w:r>
        <w:rPr>
          <w:rFonts w:ascii="Arial" w:cs="Arial" w:eastAsia="Arial" w:hAnsi="Arial"/>
          <w:b w:val="false"/>
          <w:bCs w:val="false"/>
          <w:i w:val="false"/>
          <w:iCs w:val="false"/>
          <w:sz w:val="22"/>
          <w:szCs w:val="22"/>
        </w:rPr>
        <w:t xml:space="preserve">Tennicircle uses a freemium subscription model. The free tier ensures maximum adoption across the community, while premium features generate recurring revenue from engaged players.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2"/>
                <w:szCs w:val="22"/>
              </w:rPr>
              <w:t xml:space="preserve">Free Tier</w:t>
            </w:r>
          </w:p>
        </w:tc>
        <w:tc>
          <w:tcPr>
            <w:tcW w:type="dxa" w:w="4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2"/>
                <w:szCs w:val="22"/>
              </w:rPr>
              <w:t xml:space="preserve">Premium Subscription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Basic lesson booking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Full lesson &amp; match history with analytics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Player profile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AI coaching feedback and technique analysis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Community announcements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Personalised improvement plans and progress tracking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Event viewing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Priority event registration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Advanced player statistics and benchmarking</w:t>
            </w:r>
          </w:p>
        </w:tc>
      </w:tr>
    </w:tbl>
    <w:p>
      <w:pPr>
        <w:spacing w:after="200"/>
        <w:jc w:val="left"/>
      </w:pPr>
      <w:r>
        <w:rPr>
          <w:rFonts w:ascii="Arial" w:cs="Arial" w:eastAsia="Arial" w:hAnsi="Arial"/>
          <w:b w:val="false"/>
          <w:bCs w:val="false"/>
          <w:i w:val="false"/>
          <w:iCs w:val="false"/>
          <w:sz w:val="22"/>
          <w:szCs w:val="22"/>
        </w:rPr>
        <w:t xml:space="preserve"/>
      </w:r>
    </w:p>
    <w:p>
      <w:pPr>
        <w:spacing w:after="200"/>
        <w:jc w:val="left"/>
      </w:pPr>
      <w:r>
        <w:rPr>
          <w:rFonts w:ascii="Arial" w:cs="Arial" w:eastAsia="Arial" w:hAnsi="Arial"/>
          <w:b w:val="false"/>
          <w:bCs w:val="false"/>
          <w:i w:val="false"/>
          <w:iCs w:val="false"/>
          <w:sz w:val="22"/>
          <w:szCs w:val="22"/>
        </w:rPr>
        <w:t xml:space="preserve">As the platform expands, additional revenue streams include transaction fees on pro-shop sales, premium community owner plans with advanced analytics and multi-coach support, white-label licensing fees, and marketplace commissions.</w:t>
      </w:r>
    </w:p>
    <w:p>
      <w:pPr>
        <w:pStyle w:val="Heading1"/>
      </w:pPr>
      <w:r>
        <w:rPr>
          <w:rFonts w:ascii="Arial" w:cs="Arial" w:eastAsia="Arial" w:hAnsi="Arial"/>
        </w:rPr>
        <w:t xml:space="preserve">Competitive Landscape</w:t>
      </w:r>
    </w:p>
    <w:p>
      <w:pPr>
        <w:spacing w:after="200"/>
        <w:jc w:val="left"/>
      </w:pPr>
      <w:r>
        <w:rPr>
          <w:rFonts w:ascii="Arial" w:cs="Arial" w:eastAsia="Arial" w:hAnsi="Arial"/>
          <w:b w:val="false"/>
          <w:bCs w:val="false"/>
          <w:i w:val="false"/>
          <w:iCs w:val="false"/>
          <w:sz w:val="22"/>
          <w:szCs w:val="22"/>
        </w:rPr>
        <w:t xml:space="preserve">Existing products in this space fall into two categories, neither of which addresses the full problem:</w:t>
      </w:r>
    </w:p>
    <w:p>
      <w:pPr>
        <w:pStyle w:val="ListParagraph"/>
        <w:numPr>
          <w:ilvl w:val="0"/>
          <w:numId w:val="4"/>
        </w:numPr>
        <w:spacing w:after="100"/>
      </w:pPr>
      <w:r>
        <w:rPr>
          <w:rFonts w:ascii="Arial" w:cs="Arial" w:eastAsia="Arial" w:hAnsi="Arial"/>
          <w:b/>
          <w:bCs/>
          <w:sz w:val="22"/>
          <w:szCs w:val="22"/>
        </w:rPr>
        <w:t xml:space="preserve">Court booking platforms (Playtomic, CourtHire, Book a Court) — </w:t>
      </w:r>
      <w:r>
        <w:rPr>
          <w:rFonts w:ascii="Arial" w:cs="Arial" w:eastAsia="Arial" w:hAnsi="Arial"/>
          <w:sz w:val="22"/>
          <w:szCs w:val="22"/>
        </w:rPr>
        <w:t xml:space="preserve">focused on facility and court reservation. They serve venue operators, not coaches. There is no coaching management, no player development tracking, no community tools, and no AI coaching.</w:t>
      </w:r>
    </w:p>
    <w:p>
      <w:pPr>
        <w:pStyle w:val="ListParagraph"/>
        <w:numPr>
          <w:ilvl w:val="0"/>
          <w:numId w:val="4"/>
        </w:numPr>
        <w:spacing w:after="100"/>
      </w:pPr>
      <w:r>
        <w:rPr>
          <w:rFonts w:ascii="Arial" w:cs="Arial" w:eastAsia="Arial" w:hAnsi="Arial"/>
          <w:b/>
          <w:bCs/>
          <w:sz w:val="22"/>
          <w:szCs w:val="22"/>
        </w:rPr>
        <w:t xml:space="preserve">Generic booking/scheduling tools (Calendly, Acuity, Mindbody) — </w:t>
      </w:r>
      <w:r>
        <w:rPr>
          <w:rFonts w:ascii="Arial" w:cs="Arial" w:eastAsia="Arial" w:hAnsi="Arial"/>
          <w:sz w:val="22"/>
          <w:szCs w:val="22"/>
        </w:rPr>
        <w:t xml:space="preserve">horizontal tools that handle appointment scheduling but have no understanding of sports communities, player progression, events, or coaching workflows.</w:t>
      </w:r>
    </w:p>
    <w:p>
      <w:pPr>
        <w:spacing w:after="200"/>
        <w:jc w:val="left"/>
      </w:pPr>
      <w:r>
        <w:rPr>
          <w:rFonts w:ascii="Arial" w:cs="Arial" w:eastAsia="Arial" w:hAnsi="Arial"/>
          <w:b w:val="false"/>
          <w:bCs w:val="false"/>
          <w:i w:val="false"/>
          <w:iCs w:val="false"/>
          <w:sz w:val="22"/>
          <w:szCs w:val="22"/>
        </w:rPr>
        <w:t xml:space="preserve">Tennicircle occupies a different position entirely: it is a coach’s operating system. The combination of community management, AI-assisted coaching, event organisation, and player development tracking in a single purpose-built product does not exist in the market today. The pro-shop integration further differentiates by bringing the coach’s retail operation into the same ecosystem.</w:t>
      </w:r>
    </w:p>
    <w:p>
      <w:pPr>
        <w:pStyle w:val="Heading1"/>
      </w:pPr>
      <w:r>
        <w:rPr>
          <w:rFonts w:ascii="Arial" w:cs="Arial" w:eastAsia="Arial" w:hAnsi="Arial"/>
        </w:rPr>
        <w:t xml:space="preserve">Technical Overview</w:t>
      </w:r>
    </w:p>
    <w:p>
      <w:pPr>
        <w:spacing w:after="200"/>
        <w:jc w:val="left"/>
      </w:pPr>
      <w:r>
        <w:rPr>
          <w:rFonts w:ascii="Arial" w:cs="Arial" w:eastAsia="Arial" w:hAnsi="Arial"/>
          <w:b w:val="false"/>
          <w:bCs w:val="false"/>
          <w:i w:val="false"/>
          <w:iCs w:val="false"/>
          <w:sz w:val="22"/>
          <w:szCs w:val="22"/>
        </w:rPr>
        <w:t xml:space="preserve">The platform is built as a modern web application, mobile-first in design, with the following technical considerations:</w:t>
      </w:r>
    </w:p>
    <w:p>
      <w:pPr>
        <w:pStyle w:val="ListParagraph"/>
        <w:numPr>
          <w:ilvl w:val="0"/>
          <w:numId w:val="5"/>
        </w:numPr>
        <w:spacing w:after="100"/>
      </w:pPr>
      <w:r>
        <w:rPr>
          <w:rFonts w:ascii="Arial" w:cs="Arial" w:eastAsia="Arial" w:hAnsi="Arial"/>
          <w:b/>
          <w:bCs/>
          <w:sz w:val="22"/>
          <w:szCs w:val="22"/>
        </w:rPr>
        <w:t xml:space="preserve">Multi-tenant architecture from day one — </w:t>
      </w:r>
      <w:r>
        <w:rPr>
          <w:rFonts w:ascii="Arial" w:cs="Arial" w:eastAsia="Arial" w:hAnsi="Arial"/>
          <w:sz w:val="22"/>
          <w:szCs w:val="22"/>
        </w:rPr>
        <w:t xml:space="preserve">even with a single community at launch, the data model, authentication, and permission systems are designed for multi-tenancy. This avoids the costly and risky migration that would otherwise be required before onboarding a second community.</w:t>
      </w:r>
    </w:p>
    <w:p>
      <w:pPr>
        <w:pStyle w:val="ListParagraph"/>
        <w:numPr>
          <w:ilvl w:val="0"/>
          <w:numId w:val="5"/>
        </w:numPr>
        <w:spacing w:after="100"/>
      </w:pPr>
      <w:r>
        <w:rPr>
          <w:rFonts w:ascii="Arial" w:cs="Arial" w:eastAsia="Arial" w:hAnsi="Arial"/>
          <w:b/>
          <w:bCs/>
          <w:sz w:val="22"/>
          <w:szCs w:val="22"/>
        </w:rPr>
        <w:t xml:space="preserve">Mobile-first responsive design — </w:t>
      </w:r>
      <w:r>
        <w:rPr>
          <w:rFonts w:ascii="Arial" w:cs="Arial" w:eastAsia="Arial" w:hAnsi="Arial"/>
          <w:sz w:val="22"/>
          <w:szCs w:val="22"/>
        </w:rPr>
        <w:t xml:space="preserve">players will primarily interact via their phones. The interface is designed for mobile-first usage with a responsive web application that works seamlessly across devices. A native mobile application may follow based on user demand.</w:t>
      </w:r>
    </w:p>
    <w:p>
      <w:pPr>
        <w:pStyle w:val="ListParagraph"/>
        <w:numPr>
          <w:ilvl w:val="0"/>
          <w:numId w:val="5"/>
        </w:numPr>
        <w:spacing w:after="100"/>
      </w:pPr>
      <w:r>
        <w:rPr>
          <w:rFonts w:ascii="Arial" w:cs="Arial" w:eastAsia="Arial" w:hAnsi="Arial"/>
          <w:b/>
          <w:bCs/>
          <w:sz w:val="22"/>
          <w:szCs w:val="22"/>
        </w:rPr>
        <w:t xml:space="preserve">Real-time infrastructure — </w:t>
      </w:r>
      <w:r>
        <w:rPr>
          <w:rFonts w:ascii="Arial" w:cs="Arial" w:eastAsia="Arial" w:hAnsi="Arial"/>
          <w:sz w:val="22"/>
          <w:szCs w:val="22"/>
        </w:rPr>
        <w:t xml:space="preserve">live scoring during events, push notifications for bookings and announcements, and activity feeds require a real-time data layer (WebSockets or server-sent events).</w:t>
      </w:r>
    </w:p>
    <w:p>
      <w:pPr>
        <w:pStyle w:val="ListParagraph"/>
        <w:numPr>
          <w:ilvl w:val="0"/>
          <w:numId w:val="5"/>
        </w:numPr>
        <w:spacing w:after="100"/>
      </w:pPr>
      <w:r>
        <w:rPr>
          <w:rFonts w:ascii="Arial" w:cs="Arial" w:eastAsia="Arial" w:hAnsi="Arial"/>
          <w:b/>
          <w:bCs/>
          <w:sz w:val="22"/>
          <w:szCs w:val="22"/>
        </w:rPr>
        <w:t xml:space="preserve">AI integration via multimodal APIs — </w:t>
      </w:r>
      <w:r>
        <w:rPr>
          <w:rFonts w:ascii="Arial" w:cs="Arial" w:eastAsia="Arial" w:hAnsi="Arial"/>
          <w:sz w:val="22"/>
          <w:szCs w:val="22"/>
        </w:rPr>
        <w:t xml:space="preserve">video and image analysis leverages cloud-based multimodal AI models. The platform handles media upload, frame extraction, structured prompting, response parsing, and coach review workflows. The AI layer is model-agnostic, allowing the platform to adopt improved models as they become available.</w:t>
      </w:r>
    </w:p>
    <w:p>
      <w:pPr>
        <w:pStyle w:val="ListParagraph"/>
        <w:numPr>
          <w:ilvl w:val="0"/>
          <w:numId w:val="5"/>
        </w:numPr>
        <w:spacing w:after="100"/>
      </w:pPr>
      <w:r>
        <w:rPr>
          <w:rFonts w:ascii="Arial" w:cs="Arial" w:eastAsia="Arial" w:hAnsi="Arial"/>
          <w:b/>
          <w:bCs/>
          <w:sz w:val="22"/>
          <w:szCs w:val="22"/>
        </w:rPr>
        <w:t xml:space="preserve">Payment processing — </w:t>
      </w:r>
      <w:r>
        <w:rPr>
          <w:rFonts w:ascii="Arial" w:cs="Arial" w:eastAsia="Arial" w:hAnsi="Arial"/>
          <w:sz w:val="22"/>
          <w:szCs w:val="22"/>
        </w:rPr>
        <w:t xml:space="preserve">integrated payment handling for subscriptions and pro-shop transactions via Stripe or equivalent, with support for recurring billing, refunds, and coach payouts.</w:t>
      </w:r>
    </w:p>
    <w:p>
      <w:pPr>
        <w:pStyle w:val="ListParagraph"/>
        <w:numPr>
          <w:ilvl w:val="0"/>
          <w:numId w:val="5"/>
        </w:numPr>
        <w:spacing w:after="100"/>
      </w:pPr>
      <w:r>
        <w:rPr>
          <w:rFonts w:ascii="Arial" w:cs="Arial" w:eastAsia="Arial" w:hAnsi="Arial"/>
          <w:b/>
          <w:bCs/>
          <w:sz w:val="22"/>
          <w:szCs w:val="22"/>
        </w:rPr>
        <w:t xml:space="preserve">Sport configuration layer — </w:t>
      </w:r>
      <w:r>
        <w:rPr>
          <w:rFonts w:ascii="Arial" w:cs="Arial" w:eastAsia="Arial" w:hAnsi="Arial"/>
          <w:sz w:val="22"/>
          <w:szCs w:val="22"/>
        </w:rPr>
        <w:t xml:space="preserve">skill frameworks, event formats, coaching criteria, and terminology are configurable per sport, enabling multi-sport expansion without forking the codebase.</w:t>
      </w:r>
    </w:p>
    <w:p>
      <w:pPr>
        <w:pStyle w:val="Heading1"/>
      </w:pPr>
      <w:r>
        <w:rPr>
          <w:rFonts w:ascii="Arial" w:cs="Arial" w:eastAsia="Arial" w:hAnsi="Arial"/>
        </w:rPr>
        <w:t xml:space="preserve">Market Opportunity</w:t>
      </w:r>
    </w:p>
    <w:p>
      <w:pPr>
        <w:spacing w:after="200"/>
        <w:jc w:val="left"/>
      </w:pPr>
      <w:r>
        <w:rPr>
          <w:rFonts w:ascii="Arial" w:cs="Arial" w:eastAsia="Arial" w:hAnsi="Arial"/>
          <w:b w:val="false"/>
          <w:bCs w:val="false"/>
          <w:i w:val="false"/>
          <w:iCs w:val="false"/>
          <w:sz w:val="22"/>
          <w:szCs w:val="22"/>
        </w:rPr>
        <w:t xml:space="preserve">The market for Tennicircle extends well beyond a single tennis community. In Australia alone, Tennis Australia reports over 1.1 million regular players and thousands of community-level coaches and clubs. Globally, tennis participation has been growing steadily, accelerated by increased interest in social and community-based fitness activities.</w:t>
      </w:r>
    </w:p>
    <w:p>
      <w:pPr>
        <w:spacing w:after="200"/>
        <w:jc w:val="left"/>
      </w:pPr>
      <w:r>
        <w:rPr>
          <w:rFonts w:ascii="Arial" w:cs="Arial" w:eastAsia="Arial" w:hAnsi="Arial"/>
          <w:b w:val="false"/>
          <w:bCs w:val="false"/>
          <w:i w:val="false"/>
          <w:iCs w:val="false"/>
          <w:sz w:val="22"/>
          <w:szCs w:val="22"/>
        </w:rPr>
        <w:t xml:space="preserve">But the real opportunity is broader than tennis. Every coach-led sport — golf pros managing lesson programs, basketball trainers running development squads, swimming coaches coordinating squad sessions — faces the same operational challenges. The coach-led community sports market is large, fragmented, and underserved by purpose-built technology. Tennicircle’s sport-agnostic architecture positions it to capture this broader market once the model is proven in tennis.</w:t>
      </w:r>
    </w:p>
    <w:p>
      <w:pPr>
        <w:pStyle w:val="Heading1"/>
      </w:pPr>
      <w:r>
        <w:rPr>
          <w:rFonts w:ascii="Arial" w:cs="Arial" w:eastAsia="Arial" w:hAnsi="Arial"/>
        </w:rPr>
        <w:t xml:space="preserve">Next Steps</w:t>
      </w:r>
    </w:p>
    <w:p>
      <w:pPr>
        <w:spacing w:after="200"/>
        <w:jc w:val="left"/>
      </w:pPr>
      <w:r>
        <w:rPr>
          <w:rFonts w:ascii="Arial" w:cs="Arial" w:eastAsia="Arial" w:hAnsi="Arial"/>
          <w:b w:val="false"/>
          <w:bCs w:val="false"/>
          <w:i w:val="false"/>
          <w:iCs w:val="false"/>
          <w:sz w:val="22"/>
          <w:szCs w:val="22"/>
        </w:rPr>
        <w:t xml:space="preserve">The following steps will move Tennicircle from concept to product:</w:t>
      </w:r>
    </w:p>
    <w:p>
      <w:pPr>
        <w:pStyle w:val="ListParagraph"/>
        <w:numPr>
          <w:ilvl w:val="0"/>
          <w:numId w:val="6"/>
        </w:numPr>
        <w:spacing w:after="100"/>
      </w:pPr>
      <w:r>
        <w:rPr>
          <w:rFonts w:ascii="Arial" w:cs="Arial" w:eastAsia="Arial" w:hAnsi="Arial"/>
          <w:b/>
          <w:bCs/>
          <w:sz w:val="22"/>
          <w:szCs w:val="22"/>
        </w:rPr>
        <w:t xml:space="preserve">Community input — </w:t>
      </w:r>
      <w:r>
        <w:rPr>
          <w:rFonts w:ascii="Arial" w:cs="Arial" w:eastAsia="Arial" w:hAnsi="Arial"/>
          <w:sz w:val="22"/>
          <w:szCs w:val="22"/>
        </w:rPr>
        <w:t xml:space="preserve">A short survey or conversations with community members to validate feature priorities, confirm willingness to adopt (and pay for) the platform, and identify any requirements we have not anticipated.</w:t>
      </w:r>
    </w:p>
    <w:p>
      <w:pPr>
        <w:pStyle w:val="ListParagraph"/>
        <w:numPr>
          <w:ilvl w:val="0"/>
          <w:numId w:val="6"/>
        </w:numPr>
        <w:spacing w:after="100"/>
      </w:pPr>
      <w:r>
        <w:rPr>
          <w:rFonts w:ascii="Arial" w:cs="Arial" w:eastAsia="Arial" w:hAnsi="Arial"/>
          <w:b/>
          <w:bCs/>
          <w:sz w:val="22"/>
          <w:szCs w:val="22"/>
        </w:rPr>
        <w:t xml:space="preserve">MVP scope definition — </w:t>
      </w:r>
      <w:r>
        <w:rPr>
          <w:rFonts w:ascii="Arial" w:cs="Arial" w:eastAsia="Arial" w:hAnsi="Arial"/>
          <w:sz w:val="22"/>
          <w:szCs w:val="22"/>
        </w:rPr>
        <w:t xml:space="preserve">Agree on which Phase 1 features to build first based on the community’s biggest pain points and what will deliver value fastest.</w:t>
      </w:r>
    </w:p>
    <w:p>
      <w:pPr>
        <w:pStyle w:val="ListParagraph"/>
        <w:numPr>
          <w:ilvl w:val="0"/>
          <w:numId w:val="6"/>
        </w:numPr>
        <w:spacing w:after="100"/>
      </w:pPr>
      <w:r>
        <w:rPr>
          <w:rFonts w:ascii="Arial" w:cs="Arial" w:eastAsia="Arial" w:hAnsi="Arial"/>
          <w:b/>
          <w:bCs/>
          <w:sz w:val="22"/>
          <w:szCs w:val="22"/>
        </w:rPr>
        <w:t xml:space="preserve">Design and prototyping — </w:t>
      </w:r>
      <w:r>
        <w:rPr>
          <w:rFonts w:ascii="Arial" w:cs="Arial" w:eastAsia="Arial" w:hAnsi="Arial"/>
          <w:sz w:val="22"/>
          <w:szCs w:val="22"/>
        </w:rPr>
        <w:t xml:space="preserve">Create wireframes and a clickable prototype for the core user flows (booking a lesson, viewing profile, registering for an event) to validate the experience before building.</w:t>
      </w:r>
    </w:p>
    <w:p>
      <w:pPr>
        <w:pStyle w:val="ListParagraph"/>
        <w:numPr>
          <w:ilvl w:val="0"/>
          <w:numId w:val="6"/>
        </w:numPr>
        <w:spacing w:after="100"/>
      </w:pPr>
      <w:r>
        <w:rPr>
          <w:rFonts w:ascii="Arial" w:cs="Arial" w:eastAsia="Arial" w:hAnsi="Arial"/>
          <w:b/>
          <w:bCs/>
          <w:sz w:val="22"/>
          <w:szCs w:val="22"/>
        </w:rPr>
        <w:t xml:space="preserve">Development and testing — </w:t>
      </w:r>
      <w:r>
        <w:rPr>
          <w:rFonts w:ascii="Arial" w:cs="Arial" w:eastAsia="Arial" w:hAnsi="Arial"/>
          <w:sz w:val="22"/>
          <w:szCs w:val="22"/>
        </w:rPr>
        <w:t xml:space="preserve">Build the MVP, test with a small group of early adopters from the community, iterate based on feedback, and prepare for full community rollout.</w:t>
      </w:r>
    </w:p>
    <w:p>
      <w:pPr>
        <w:pStyle w:val="ListParagraph"/>
        <w:numPr>
          <w:ilvl w:val="0"/>
          <w:numId w:val="6"/>
        </w:numPr>
        <w:spacing w:after="100"/>
      </w:pPr>
      <w:r>
        <w:rPr>
          <w:rFonts w:ascii="Arial" w:cs="Arial" w:eastAsia="Arial" w:hAnsi="Arial"/>
          <w:b/>
          <w:bCs/>
          <w:sz w:val="22"/>
          <w:szCs w:val="22"/>
        </w:rPr>
        <w:t xml:space="preserve">Launch and onboarding — </w:t>
      </w:r>
      <w:r>
        <w:rPr>
          <w:rFonts w:ascii="Arial" w:cs="Arial" w:eastAsia="Arial" w:hAnsi="Arial"/>
          <w:sz w:val="22"/>
          <w:szCs w:val="22"/>
        </w:rPr>
        <w:t xml:space="preserve">Transition the full community onto the platform with hands-on support to ensure adoption.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Tennicircle  |  Concept Overview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9"/>
    <w:lvlOverride w:ilvl="0">
      <w:startOverride w:val="1"/>
    </w:lvlOverride>
  </w:num>
  <w:num w:numId="5">
    <w:abstractNumId w:val="10"/>
    <w:lvlOverride w:ilvl="0">
      <w:startOverride w:val="1"/>
    </w:lvlOverride>
  </w:num>
  <w:num w:numId="6">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5E20"/>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D32"/>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88E3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2026-04-02T12:31:19.645Z</dcterms:created>
  <dcterms:modified xsi:type="dcterms:W3CDTF">2026-04-02T12:31:19.645Z</dcterms:modified>
</cp:coreProperties>
</file>

<file path=docProps/custom.xml><?xml version="1.0" encoding="utf-8"?>
<Properties xmlns="http://schemas.openxmlformats.org/officeDocument/2006/custom-properties" xmlns:vt="http://schemas.openxmlformats.org/officeDocument/2006/docPropsVTypes"/>
</file>