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color w:val="142864"/>
          <w:sz w:val="38"/>
        </w:rPr>
        <w:t>Парковка и пешеходный переход на ул. Магистральной, 2</w:t>
      </w:r>
    </w:p>
    <w:p>
      <w:pPr>
        <w:spacing w:after="120" w:before="0"/>
      </w:pPr>
      <w:r>
        <w:rPr>
          <w:b w:val="0"/>
          <w:color w:val="505050"/>
          <w:sz w:val="24"/>
        </w:rPr>
        <w:t>Инициативный проект «Места хватит всем 1.0» — краткая информация для жителей</w:t>
      </w:r>
    </w:p>
    <w:p>
      <w:pPr>
        <w:spacing w:after="40" w:before="160"/>
      </w:pPr>
      <w:r>
        <w:rPr>
          <w:b/>
          <w:color w:val="142864"/>
          <w:sz w:val="26"/>
        </w:rPr>
        <w:t>О чём проект</w:t>
      </w:r>
    </w:p>
    <w:p>
      <w:pPr>
        <w:spacing w:after="60" w:before="0"/>
      </w:pPr>
      <w:r>
        <w:rPr>
          <w:b w:val="0"/>
          <w:sz w:val="22"/>
        </w:rPr>
        <w:t>Создание некоммерческой парковки общего пользования по ул. Магистральной, 2 в Советском АО г. Омска. Проект организации дорожного движения № 177-23-ОДД (ООО «КРИАН», 2023) согласован инспектором ОП ОН УГИБДД УМВД России по Омской области и Департаментом городского хозяйства Администрации г. Омска (11.07.2023). Схема проекта — на следующих листах.</w:t>
      </w:r>
    </w:p>
    <w:p>
      <w:pPr>
        <w:spacing w:after="40" w:before="160"/>
      </w:pPr>
      <w:r>
        <w:rPr>
          <w:b/>
          <w:color w:val="142864"/>
          <w:sz w:val="26"/>
        </w:rPr>
        <w:t>Что предусмотрено проектом</w:t>
      </w:r>
    </w:p>
    <w:p>
      <w:pPr>
        <w:pStyle w:val="ListBullet"/>
        <w:spacing w:after="40"/>
      </w:pPr>
      <w:r>
        <w:t>1 этап: парковка на 21 машино-место, из них 3 места для инвалидов (площадь парковки и тротуара — 567,63 м²). Часть мест расположена под углом 90° к проезжей части, часть — параллельно, на разделительной полосе ул. Магистральной.</w:t>
      </w:r>
    </w:p>
    <w:p>
      <w:pPr>
        <w:pStyle w:val="ListBullet"/>
        <w:spacing w:after="40"/>
      </w:pPr>
      <w:r>
        <w:t>2 этап: ещё 9 машино-мест (площадь парковки и тротуара — 146,2 м²).</w:t>
      </w:r>
    </w:p>
    <w:p>
      <w:pPr>
        <w:pStyle w:val="ListBullet"/>
        <w:spacing w:after="40"/>
      </w:pPr>
      <w:r>
        <w:t>Пешеходный переход, совмещённый с искусственной неровностью, со знаками «Пешеходный переход» и «Ограничение максимальной скорости».</w:t>
      </w:r>
    </w:p>
    <w:p>
      <w:pPr>
        <w:pStyle w:val="ListBullet"/>
        <w:spacing w:after="40"/>
      </w:pPr>
      <w:r>
        <w:t>Знаки и разметка парковочных мест, в том числе мест для инвалидов; знаки «Остановка запрещена» с табличкой «Работает эвакуатор» там, где остановка мешает движению.</w:t>
      </w:r>
    </w:p>
    <w:p>
      <w:pPr>
        <w:pStyle w:val="ListBullet"/>
        <w:spacing w:after="40"/>
      </w:pPr>
      <w:r>
        <w:t>Освещение стоянки и пешеходных подходов; перенос знаков остановки общественного транспорта.</w:t>
      </w:r>
    </w:p>
    <w:p>
      <w:pPr>
        <w:spacing w:after="40" w:before="160"/>
      </w:pPr>
      <w:r>
        <w:rPr>
          <w:b/>
          <w:color w:val="142864"/>
          <w:sz w:val="26"/>
        </w:rPr>
        <w:t>Чем это важно для жителей</w:t>
      </w:r>
    </w:p>
    <w:p>
      <w:pPr>
        <w:pStyle w:val="ListBullet"/>
        <w:spacing w:after="40"/>
      </w:pPr>
      <w:r>
        <w:t>Обустроенный и обозначенный переход на оживлённой улице вместо перехода «где придётся» — особенно важно для детей, пожилых людей и родителей с колясками.</w:t>
      </w:r>
    </w:p>
    <w:p>
      <w:pPr>
        <w:pStyle w:val="ListBullet"/>
        <w:spacing w:after="40"/>
      </w:pPr>
      <w:r>
        <w:t>Упорядоченная стоянка вместо хаотичной: понятные места, свободнее проезд и тротуары.</w:t>
      </w:r>
    </w:p>
    <w:p>
      <w:pPr>
        <w:pStyle w:val="ListBullet"/>
        <w:spacing w:after="40"/>
      </w:pPr>
      <w:r>
        <w:t>По проекту установка, содержание и обслуживание технических средств организации движения выполняются за счёт собственника (арендатора) объекта.</w:t>
      </w:r>
    </w:p>
    <w:p>
      <w:pPr>
        <w:spacing w:after="40" w:before="160"/>
      </w:pPr>
      <w:r>
        <w:rPr>
          <w:b/>
          <w:color w:val="142864"/>
          <w:sz w:val="26"/>
        </w:rPr>
        <w:t>Как поддержать проект</w:t>
      </w:r>
    </w:p>
    <w:p>
      <w:pPr>
        <w:spacing w:after="60" w:before="0"/>
      </w:pPr>
      <w:r>
        <w:rPr>
          <w:b/>
          <w:sz w:val="22"/>
        </w:rPr>
        <w:t>Чтобы проект был выдвинут, нужно не менее 70 голосов жителей Омска.</w:t>
      </w:r>
    </w:p>
    <w:p>
      <w:pPr>
        <w:pStyle w:val="ListBullet"/>
        <w:spacing w:after="40"/>
      </w:pPr>
      <w:r>
        <w:t>Очное собрание: 02.11.2026 в 17:00, во дворе дома № 2 по ул. Магистральной («Радужный дворик»).</w:t>
      </w:r>
    </w:p>
    <w:p>
      <w:pPr>
        <w:pStyle w:val="ListBullet"/>
        <w:spacing w:after="40"/>
      </w:pPr>
      <w:r>
        <w:t>Письменные решения: с 02.11 по 06.11.2026 включительно, ежедневно с 18:00 до 20:00, г. Омск, ул. Магистральная, д. 2, кв. 40.</w:t>
      </w:r>
    </w:p>
    <w:p>
      <w:pPr>
        <w:pStyle w:val="ListBullet"/>
        <w:spacing w:after="40"/>
      </w:pPr>
      <w:r>
        <w:t>В решении указываются: Ф.И.О., дата рождения, адрес проживания, подпись.</w:t>
      </w:r>
    </w:p>
    <w:p>
      <w:pPr>
        <w:pStyle w:val="ListBullet"/>
        <w:spacing w:after="40"/>
      </w:pPr>
      <w:r>
        <w:t>Нет возможности прийти — свяжитесь с инициаторами, они помогут расписаться в реестре поддержки:</w:t>
      </w:r>
    </w:p>
    <w:p>
      <w:pPr>
        <w:spacing w:after="80" w:before="0"/>
        <w:ind w:left="567"/>
      </w:pPr>
      <w:r>
        <w:rPr>
          <w:b/>
          <w:sz w:val="22"/>
        </w:rPr>
        <w:t>Кузбаков Темирбулат Мухтарович: 8 923 680-90-43</w:t>
        <w:br/>
        <w:t>Яворсюк Елена Викторовна: +7 923 045-85-85</w:t>
      </w:r>
    </w:p>
    <w:p>
      <w:pPr>
        <w:spacing w:after="60" w:before="160"/>
        <w:jc w:val="center"/>
      </w:pPr>
      <w:r>
        <w:rPr>
          <w:b/>
          <w:color w:val="142864"/>
          <w:sz w:val="22"/>
        </w:rPr>
        <w:t>Ваше участие поможет решить важную для нас проблему и сделать наш город комфортнее!</w:t>
      </w:r>
    </w:p>
    <w:sectPr w:rsidR="00FC693F" w:rsidRPr="0006063C" w:rsidSect="00034616">
      <w:pgSz w:w="11906" w:h="16838"/>
      <w:pgMar w:top="850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