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b/>
          <w:b/>
          <w:szCs w:val="28"/>
          <w:iCs/>
          <w:bCs/>
          <w:rFonts w:eastAsia="Times New Roman" w:cs="Arial"/>
          <w:color w:val="FF0000"/>
          <w:lang w:val="en-US"/>
        </w:rPr>
      </w:pPr>
      <w:r>
        <w:rPr/>
        <w:t>Các từ viết tắt:</w:t>
      </w:r>
      <w:r/>
    </w:p>
    <w:p>
      <w:pPr>
        <w:pStyle w:val="Normal"/>
        <w:ind w:firstLine="720"/>
        <w:jc w:val="both"/>
        <w:rPr>
          <w:lang w:val="en-US"/>
        </w:rPr>
      </w:pPr>
      <w:r>
        <w:rPr>
          <w:lang w:val="en-US"/>
        </w:rPr>
        <w:t>ACR (Assessed Control Risk): Rủi ro kiểm soát đánh giá được</w:t>
      </w:r>
      <w:r/>
    </w:p>
    <w:p>
      <w:pPr>
        <w:pStyle w:val="Normal"/>
        <w:ind w:firstLine="720"/>
        <w:jc w:val="both"/>
        <w:rPr>
          <w:lang w:val="en-US"/>
        </w:rPr>
      </w:pPr>
      <w:r>
        <w:rPr>
          <w:lang w:val="en-US"/>
        </w:rPr>
        <w:t>ARACR (Acceptable Risk of Assessing Control Risk too low): Rủi ro chấp nhận được của việc thừa nhận mức rủi ro kiểm soát là quá thấp. Nói cách khác đây là mức rủi ro thừa nhận sai chấp nhận được trong thử nghiệm kiểm soát và thử nghiệm cơ bản.</w:t>
      </w:r>
      <w:r/>
    </w:p>
    <w:p>
      <w:pPr>
        <w:pStyle w:val="Normal"/>
        <w:ind w:firstLine="720"/>
        <w:jc w:val="both"/>
        <w:rPr>
          <w:lang w:val="en-US"/>
        </w:rPr>
      </w:pPr>
      <w:r>
        <w:rPr>
          <w:lang w:val="en-US"/>
        </w:rPr>
        <w:t>ARIA (Acceptable Risk of Incorrect Acceptance): Rủi ro thừa nhận sai chấp nhận được.</w:t>
      </w:r>
      <w:r/>
    </w:p>
    <w:p>
      <w:pPr>
        <w:pStyle w:val="Normal"/>
        <w:ind w:firstLine="720"/>
        <w:jc w:val="both"/>
        <w:rPr>
          <w:lang w:val="en-US"/>
        </w:rPr>
      </w:pPr>
      <w:r>
        <w:rPr>
          <w:lang w:val="en-US"/>
        </w:rPr>
        <w:t>TER (Torable Exception Rate): Tỉ lệ chệch chấp nhận được</w:t>
      </w:r>
      <w:r/>
    </w:p>
    <w:p>
      <w:pPr>
        <w:pStyle w:val="Normal"/>
        <w:ind w:firstLine="720"/>
        <w:jc w:val="both"/>
        <w:rPr>
          <w:lang w:val="en-US"/>
        </w:rPr>
      </w:pPr>
      <w:r>
        <w:rPr>
          <w:lang w:val="en-US"/>
        </w:rPr>
        <w:t>CUER (Computed Upper Exception Rate): Tỉ lệ chệch giới hạn trên tính toán được</w:t>
      </w:r>
      <w:r/>
    </w:p>
    <w:p>
      <w:pPr>
        <w:pStyle w:val="Normal"/>
        <w:ind w:firstLine="720"/>
        <w:jc w:val="both"/>
        <w:rPr>
          <w:lang w:val="en-US"/>
        </w:rPr>
      </w:pPr>
      <w:r>
        <w:rPr>
          <w:lang w:val="en-US"/>
        </w:rPr>
        <w:t>EPER (Estimated Population Exception Rate): Tỉ lệ sai lệch ước tính của tổng thể</w:t>
      </w:r>
      <w:r/>
    </w:p>
    <w:p>
      <w:pPr>
        <w:pStyle w:val="Normal"/>
        <w:ind w:firstLine="720"/>
        <w:jc w:val="both"/>
        <w:rPr>
          <w:lang w:val="en-US"/>
        </w:rPr>
      </w:pPr>
      <w:r>
        <w:rPr>
          <w:lang w:val="en-US"/>
        </w:rPr>
        <w:t>PS (Population Size): Kích cỡ tổng thể</w:t>
      </w:r>
      <w:r/>
    </w:p>
    <w:p>
      <w:pPr>
        <w:pStyle w:val="Normal"/>
        <w:ind w:firstLine="720"/>
        <w:jc w:val="both"/>
        <w:rPr>
          <w:lang w:val="en-US"/>
        </w:rPr>
      </w:pPr>
      <w:r>
        <w:rPr>
          <w:lang w:val="en-US"/>
        </w:rPr>
        <w:t>Bốn yếu tố ảnh hưởng đến cỡ mẫu:</w:t>
      </w:r>
      <w:r/>
    </w:p>
    <w:p>
      <w:pPr>
        <w:pStyle w:val="Normal"/>
        <w:ind w:firstLine="720"/>
        <w:jc w:val="both"/>
        <w:rPr>
          <w:lang w:val="en-US"/>
        </w:rPr>
      </w:pPr>
      <w:r>
        <w:rPr>
          <w:lang w:val="en-US"/>
        </w:rPr>
        <w:t>1. EPER</w:t>
      </w:r>
      <w:r/>
    </w:p>
    <w:p>
      <w:pPr>
        <w:pStyle w:val="Normal"/>
        <w:ind w:firstLine="720"/>
        <w:jc w:val="both"/>
        <w:rPr>
          <w:lang w:val="en-US"/>
        </w:rPr>
      </w:pPr>
      <w:r>
        <w:rPr>
          <w:lang w:val="en-US"/>
        </w:rPr>
        <w:t>2. TER</w:t>
      </w:r>
      <w:r/>
    </w:p>
    <w:p>
      <w:pPr>
        <w:pStyle w:val="Normal"/>
        <w:ind w:firstLine="720"/>
        <w:jc w:val="both"/>
        <w:rPr>
          <w:lang w:val="en-US"/>
        </w:rPr>
      </w:pPr>
      <w:r>
        <w:rPr>
          <w:lang w:val="en-US"/>
        </w:rPr>
        <w:t>3. ARACR</w:t>
      </w:r>
      <w:r/>
    </w:p>
    <w:p>
      <w:pPr>
        <w:pStyle w:val="Normal"/>
        <w:ind w:firstLine="720"/>
        <w:jc w:val="both"/>
      </w:pPr>
      <w:r>
        <w:rPr>
          <w:lang w:val="en-US"/>
        </w:rPr>
        <w:t>4. PS</w:t>
      </w:r>
      <w:r/>
    </w:p>
    <w:p>
      <w:pPr>
        <w:pStyle w:val="Normal"/>
        <w:ind w:firstLine="720"/>
        <w:jc w:val="both"/>
        <w:rPr/>
      </w:pPr>
      <w:r>
        <w:rPr/>
      </w:r>
      <w:r/>
    </w:p>
    <w:p>
      <w:pPr>
        <w:pStyle w:val="Heading2"/>
      </w:pPr>
      <w:r>
        <w:rPr/>
        <w:t>1. Ảnh hưởng của các yếu tố liên quan tới cỡ mẫu</w:t>
      </w:r>
      <w:r/>
    </w:p>
    <w:tbl>
      <w:tblPr>
        <w:tblStyle w:val="TableGrid"/>
        <w:tblW w:w="9344" w:type="dxa"/>
        <w:jc w:val="left"/>
        <w:tblInd w:w="0" w:type="dxa"/>
        <w:tblBorders/>
        <w:tblCellMar>
          <w:top w:w="0" w:type="dxa"/>
          <w:left w:w="108" w:type="dxa"/>
          <w:bottom w:w="0" w:type="dxa"/>
          <w:right w:w="108" w:type="dxa"/>
        </w:tblCellMar>
      </w:tblPr>
      <w:tblGrid>
        <w:gridCol w:w="6657"/>
        <w:gridCol w:w="2686"/>
      </w:tblGrid>
      <w:tr>
        <w:trPr>
          <w:trHeight w:val="340" w:hRule="atLeast"/>
        </w:trPr>
        <w:tc>
          <w:tcPr>
            <w:tcW w:w="6657" w:type="dxa"/>
            <w:tcBorders/>
            <w:shd w:fill="auto" w:val="clear"/>
            <w:tcMar>
              <w:left w:w="108" w:type="dxa"/>
            </w:tcMar>
            <w:vAlign w:val="center"/>
          </w:tcPr>
          <w:p>
            <w:pPr>
              <w:pStyle w:val="Normal"/>
              <w:spacing w:lineRule="auto" w:line="240" w:before="120" w:after="0"/>
              <w:jc w:val="center"/>
              <w:rPr>
                <w:sz w:val="24"/>
                <w:b/>
                <w:sz w:val="24"/>
                <w:b/>
                <w:lang w:val="en-US"/>
              </w:rPr>
            </w:pPr>
            <w:r>
              <w:rPr>
                <w:rFonts w:eastAsia="Times New Roman" w:cs="Times New Roman" w:ascii="Times New Roman" w:hAnsi="Times New Roman"/>
                <w:b/>
                <w:sz w:val="24"/>
                <w:szCs w:val="20"/>
                <w:lang w:val="en-US" w:eastAsia="vi-VN"/>
              </w:rPr>
              <w:t>Yếu tố thay đổi</w:t>
            </w:r>
            <w:r/>
          </w:p>
        </w:tc>
        <w:tc>
          <w:tcPr>
            <w:tcW w:w="2686" w:type="dxa"/>
            <w:tcBorders/>
            <w:shd w:fill="auto" w:val="clear"/>
            <w:tcMar>
              <w:left w:w="108" w:type="dxa"/>
            </w:tcMar>
            <w:vAlign w:val="center"/>
          </w:tcPr>
          <w:p>
            <w:pPr>
              <w:pStyle w:val="Normal"/>
              <w:spacing w:lineRule="auto" w:line="240" w:before="120" w:after="0"/>
              <w:jc w:val="center"/>
              <w:rPr>
                <w:sz w:val="24"/>
                <w:b/>
                <w:sz w:val="24"/>
                <w:b/>
                <w:lang w:val="en-US"/>
              </w:rPr>
            </w:pPr>
            <w:r>
              <w:rPr>
                <w:rFonts w:eastAsia="Times New Roman" w:cs="Times New Roman" w:ascii="Times New Roman" w:hAnsi="Times New Roman"/>
                <w:b/>
                <w:sz w:val="24"/>
                <w:szCs w:val="20"/>
                <w:lang w:val="en-US" w:eastAsia="vi-VN"/>
              </w:rPr>
              <w:t>Ảnh hưởng</w:t>
            </w:r>
            <w:r/>
          </w:p>
        </w:tc>
      </w:tr>
      <w:tr>
        <w:trPr>
          <w:trHeight w:val="340" w:hRule="atLeast"/>
        </w:trPr>
        <w:tc>
          <w:tcPr>
            <w:tcW w:w="6657"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rủi ro do thừa nhận rủi ro kiểm soát quá thấp</w:t>
            </w:r>
            <w:r/>
          </w:p>
        </w:tc>
        <w:tc>
          <w:tcPr>
            <w:tcW w:w="2686"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Giảm cỡ mẫu</w:t>
            </w:r>
            <w:r/>
          </w:p>
        </w:tc>
      </w:tr>
      <w:tr>
        <w:trPr>
          <w:trHeight w:val="340" w:hRule="atLeast"/>
        </w:trPr>
        <w:tc>
          <w:tcPr>
            <w:tcW w:w="6657"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tỉ lệ sai lệch chấp nhận được</w:t>
            </w:r>
            <w:r/>
          </w:p>
        </w:tc>
        <w:tc>
          <w:tcPr>
            <w:tcW w:w="2686"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Giảm cỡ mẫu</w:t>
            </w:r>
            <w:r/>
          </w:p>
        </w:tc>
      </w:tr>
      <w:tr>
        <w:trPr>
          <w:trHeight w:val="340" w:hRule="atLeast"/>
        </w:trPr>
        <w:tc>
          <w:tcPr>
            <w:tcW w:w="6657"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tỉ lệ sai lệch ước tính của tổng thể</w:t>
            </w:r>
            <w:r/>
          </w:p>
        </w:tc>
        <w:tc>
          <w:tcPr>
            <w:tcW w:w="2686"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cỡ mẫu</w:t>
            </w:r>
            <w:r/>
          </w:p>
        </w:tc>
      </w:tr>
      <w:tr>
        <w:trPr>
          <w:trHeight w:val="340" w:hRule="atLeast"/>
        </w:trPr>
        <w:tc>
          <w:tcPr>
            <w:tcW w:w="6657"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kích thước tổng thể</w:t>
            </w:r>
            <w:r/>
          </w:p>
        </w:tc>
        <w:tc>
          <w:tcPr>
            <w:tcW w:w="2686" w:type="dxa"/>
            <w:tcBorders/>
            <w:shd w:fill="auto" w:val="clear"/>
            <w:tcMar>
              <w:left w:w="108" w:type="dxa"/>
            </w:tcMar>
            <w:vAlign w:val="center"/>
          </w:tcPr>
          <w:p>
            <w:pPr>
              <w:pStyle w:val="Normal"/>
              <w:spacing w:lineRule="auto" w:line="240" w:before="120" w:after="0"/>
              <w:jc w:val="center"/>
              <w:rPr>
                <w:sz w:val="24"/>
                <w:sz w:val="24"/>
                <w:lang w:val="en-US"/>
              </w:rPr>
            </w:pPr>
            <w:r>
              <w:rPr>
                <w:rFonts w:eastAsia="Times New Roman" w:cs="Times New Roman" w:ascii="Times New Roman" w:hAnsi="Times New Roman"/>
                <w:sz w:val="24"/>
                <w:szCs w:val="20"/>
                <w:lang w:val="en-US" w:eastAsia="vi-VN"/>
              </w:rPr>
              <w:t>Tăng cỡ mẫu (tăng nhẹ)</w:t>
            </w:r>
            <w:r/>
          </w:p>
        </w:tc>
      </w:tr>
    </w:tbl>
    <w:p>
      <w:pPr>
        <w:pStyle w:val="Normal"/>
        <w:spacing w:before="0" w:after="0"/>
        <w:ind w:firstLine="720"/>
        <w:rPr>
          <w:lang w:val="en-US"/>
        </w:rPr>
      </w:pPr>
      <w:r>
        <w:rPr>
          <w:lang w:val="en-US"/>
        </w:rPr>
      </w:r>
      <w:r/>
    </w:p>
    <w:p>
      <w:pPr>
        <w:pStyle w:val="Normal"/>
        <w:spacing w:before="0" w:after="0"/>
        <w:ind w:firstLine="720"/>
        <w:rPr>
          <w:lang w:val="en-US"/>
        </w:rPr>
      </w:pPr>
      <w:r>
        <w:rPr>
          <w:lang w:val="en-US"/>
        </w:rPr>
        <w:t>Chúng ta sẽ xem xét các yếu tố mang tính xét đoán bao gồm:</w:t>
      </w:r>
      <w:r/>
    </w:p>
    <w:p>
      <w:pPr>
        <w:pStyle w:val="Normal"/>
        <w:spacing w:before="0" w:after="0"/>
        <w:ind w:firstLine="720"/>
        <w:rPr>
          <w:lang w:val="en-US"/>
        </w:rPr>
      </w:pPr>
      <w:r>
        <w:rPr>
          <w:lang w:val="en-US"/>
        </w:rPr>
        <w:t>- ARACR &amp; TER</w:t>
      </w:r>
      <w:r/>
    </w:p>
    <w:p>
      <w:pPr>
        <w:pStyle w:val="Normal"/>
        <w:spacing w:before="0" w:after="0"/>
        <w:ind w:firstLine="720"/>
        <w:rPr>
          <w:lang w:val="en-US"/>
        </w:rPr>
      </w:pPr>
      <w:r>
        <w:rPr>
          <w:lang w:val="en-US"/>
        </w:rPr>
        <w:t>- EPER</w:t>
      </w:r>
      <w:r/>
    </w:p>
    <w:p>
      <w:pPr>
        <w:pStyle w:val="Heading3"/>
      </w:pPr>
      <w:r>
        <w:rPr/>
        <w:t>1.1. Rủi ro do thừa nhận rủi ro kiểm soát quá thấp &amp; Tỉ lệ sai lệch chấp nhận được</w:t>
      </w:r>
      <w:r/>
    </w:p>
    <w:p>
      <w:pPr>
        <w:pStyle w:val="Heading4"/>
        <w:rPr>
          <w:lang w:val="en-US"/>
        </w:rPr>
      </w:pPr>
      <w:r>
        <w:rPr>
          <w:lang w:val="en-US"/>
        </w:rPr>
        <w:t>1.1.1. Đối với trắc nghiệm kiểm soát</w:t>
      </w:r>
      <w:r/>
    </w:p>
    <w:tbl>
      <w:tblPr>
        <w:tblStyle w:val="TableGrid"/>
        <w:tblW w:w="9344" w:type="dxa"/>
        <w:jc w:val="left"/>
        <w:tblInd w:w="0" w:type="dxa"/>
        <w:tblBorders/>
        <w:tblCellMar>
          <w:top w:w="0" w:type="dxa"/>
          <w:left w:w="108" w:type="dxa"/>
          <w:bottom w:w="0" w:type="dxa"/>
          <w:right w:w="108" w:type="dxa"/>
        </w:tblCellMar>
      </w:tblPr>
      <w:tblGrid>
        <w:gridCol w:w="4672"/>
        <w:gridCol w:w="2410"/>
        <w:gridCol w:w="2262"/>
      </w:tblGrid>
      <w:tr>
        <w:trPr/>
        <w:tc>
          <w:tcPr>
            <w:tcW w:w="4672" w:type="dxa"/>
            <w:tcBorders/>
            <w:shd w:fill="auto" w:val="clear"/>
            <w:tcMar>
              <w:left w:w="108" w:type="dxa"/>
            </w:tcMar>
          </w:tcPr>
          <w:p>
            <w:pPr>
              <w:pStyle w:val="Normal"/>
              <w:spacing w:lineRule="auto" w:line="240" w:before="0" w:after="0"/>
              <w:contextualSpacing/>
              <w:jc w:val="center"/>
              <w:rPr>
                <w:sz w:val="24"/>
                <w:b/>
                <w:sz w:val="24"/>
                <w:b/>
                <w:lang w:val="en-US"/>
              </w:rPr>
            </w:pPr>
            <w:r>
              <w:rPr>
                <w:rFonts w:eastAsia="Times New Roman" w:cs="Times New Roman" w:ascii="Times New Roman" w:hAnsi="Times New Roman"/>
                <w:b/>
                <w:sz w:val="24"/>
                <w:szCs w:val="20"/>
                <w:lang w:val="en-US" w:eastAsia="vi-VN"/>
              </w:rPr>
              <w:t>Yếu tố</w:t>
            </w:r>
            <w:r/>
          </w:p>
        </w:tc>
        <w:tc>
          <w:tcPr>
            <w:tcW w:w="2410" w:type="dxa"/>
            <w:tcBorders/>
            <w:shd w:fill="auto" w:val="clear"/>
            <w:tcMar>
              <w:left w:w="108" w:type="dxa"/>
            </w:tcMar>
          </w:tcPr>
          <w:p>
            <w:pPr>
              <w:pStyle w:val="Normal"/>
              <w:spacing w:lineRule="auto" w:line="240" w:before="0" w:after="0"/>
              <w:contextualSpacing/>
              <w:jc w:val="center"/>
              <w:rPr>
                <w:sz w:val="24"/>
                <w:b/>
                <w:sz w:val="24"/>
                <w:b/>
                <w:lang w:val="en-US"/>
              </w:rPr>
            </w:pPr>
            <w:r>
              <w:rPr>
                <w:rFonts w:eastAsia="Times New Roman" w:cs="Times New Roman" w:ascii="Times New Roman" w:hAnsi="Times New Roman"/>
                <w:b/>
                <w:sz w:val="24"/>
                <w:szCs w:val="20"/>
                <w:lang w:val="en-US" w:eastAsia="vi-VN"/>
              </w:rPr>
              <w:t>Xét đoán</w:t>
            </w:r>
            <w:r/>
          </w:p>
        </w:tc>
        <w:tc>
          <w:tcPr>
            <w:tcW w:w="2262" w:type="dxa"/>
            <w:tcBorders/>
            <w:shd w:fill="auto" w:val="clear"/>
            <w:tcMar>
              <w:left w:w="108" w:type="dxa"/>
            </w:tcMar>
          </w:tcPr>
          <w:p>
            <w:pPr>
              <w:pStyle w:val="Normal"/>
              <w:spacing w:lineRule="auto" w:line="240" w:before="0" w:after="0"/>
              <w:contextualSpacing/>
              <w:jc w:val="center"/>
              <w:rPr>
                <w:sz w:val="24"/>
                <w:b/>
                <w:sz w:val="24"/>
                <w:b/>
                <w:lang w:val="en-US"/>
              </w:rPr>
            </w:pPr>
            <w:r>
              <w:rPr>
                <w:rFonts w:eastAsia="Times New Roman" w:cs="Times New Roman" w:ascii="Times New Roman" w:hAnsi="Times New Roman"/>
                <w:b/>
                <w:sz w:val="24"/>
                <w:szCs w:val="20"/>
                <w:lang w:val="en-US" w:eastAsia="vi-VN"/>
              </w:rPr>
              <w:t>Hướng dẫn</w:t>
            </w:r>
            <w:r/>
          </w:p>
        </w:tc>
      </w:tr>
      <w:tr>
        <w:trPr/>
        <w:tc>
          <w:tcPr>
            <w:tcW w:w="4672"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Mức rủi ro kiểm soát đánh giá được (ACR) được đánh giá dựa trên các khía cạnh:</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Yêu cầu phát hành một báo cáo riêng biệt đánh giá HTKSNB của khách hàng đối với các công ty niêm yết</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xml:space="preserve">- Đặc điểm, phạm vi và thời gian của </w:t>
            </w:r>
            <w:r>
              <w:rPr>
                <w:rFonts w:eastAsia="Times New Roman" w:cs="Times New Roman" w:ascii="Times New Roman" w:hAnsi="Times New Roman"/>
                <w:color w:val="FF0000"/>
                <w:sz w:val="24"/>
                <w:szCs w:val="20"/>
                <w:lang w:val="en-US" w:eastAsia="vi-VN"/>
              </w:rPr>
              <w:t xml:space="preserve">các thử nghiệm cơ bản </w:t>
            </w:r>
            <w:r>
              <w:rPr>
                <w:rFonts w:eastAsia="Times New Roman" w:cs="Times New Roman" w:ascii="Times New Roman" w:hAnsi="Times New Roman"/>
                <w:sz w:val="24"/>
                <w:szCs w:val="20"/>
                <w:lang w:val="en-US" w:eastAsia="vi-VN"/>
              </w:rPr>
              <w:t>(thử nghiệm cơ bản có phạm vi lớn hơn dẫn tới tới mức rủi ro kiểm soát đánh giá được là cao hơn và ngược lại)</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Chất lượng các bằng chứng có sẵn phục vụ cho thử nghiệm kiểm soát (một mức chất lượng thấp hơn của các bằng chứng có sẵn dẫn tới mức rủi ro kiểm soát đánh giá được là cao hơn và ngược lại)</w:t>
            </w:r>
            <w:r/>
          </w:p>
        </w:tc>
        <w:tc>
          <w:tcPr>
            <w:tcW w:w="2410"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ACR thấp nhất</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ACR trung bình</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ACR cao hơn</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- 100% ACR</w:t>
            </w:r>
            <w:r/>
          </w:p>
        </w:tc>
        <w:tc>
          <w:tcPr>
            <w:tcW w:w="2262"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ARACR thấp</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ARACR trung bình</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ARACR cao</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ARACR không khả dụng</w:t>
            </w:r>
            <w:r/>
          </w:p>
        </w:tc>
      </w:tr>
      <w:tr>
        <w:trPr/>
        <w:tc>
          <w:tcPr>
            <w:tcW w:w="4672"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Mức độ ảnh hưởng của giao dịch và những số dư liên quan bởi hệ thống kiểm soát nội bộ.</w:t>
            </w:r>
            <w:r/>
          </w:p>
        </w:tc>
        <w:tc>
          <w:tcPr>
            <w:tcW w:w="2410"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Số dư ảnh hưởng lớn</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Số dư có ảnh hưởng</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Số dư có ít ảnh hưởng</w:t>
            </w:r>
            <w:r/>
          </w:p>
        </w:tc>
        <w:tc>
          <w:tcPr>
            <w:tcW w:w="2262" w:type="dxa"/>
            <w:tcBorders/>
            <w:shd w:fill="auto" w:val="clear"/>
            <w:tcMar>
              <w:left w:w="108" w:type="dxa"/>
            </w:tcMar>
          </w:tcPr>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TER = 4%</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TER = 5%</w:t>
            </w:r>
            <w:r/>
          </w:p>
          <w:p>
            <w:pPr>
              <w:pStyle w:val="Normal"/>
              <w:spacing w:lineRule="auto" w:line="240" w:before="0" w:after="0"/>
              <w:contextualSpacing/>
              <w:jc w:val="both"/>
              <w:rPr>
                <w:sz w:val="24"/>
                <w:sz w:val="24"/>
                <w:lang w:val="en-US"/>
              </w:rPr>
            </w:pPr>
            <w:r>
              <w:rPr>
                <w:rFonts w:eastAsia="Times New Roman" w:cs="Times New Roman" w:ascii="Times New Roman" w:hAnsi="Times New Roman"/>
                <w:sz w:val="24"/>
                <w:szCs w:val="20"/>
                <w:lang w:val="en-US" w:eastAsia="vi-VN"/>
              </w:rPr>
              <w:t>- TER = 6%</w:t>
            </w:r>
            <w:r/>
          </w:p>
        </w:tc>
      </w:tr>
    </w:tbl>
    <w:p>
      <w:pPr>
        <w:pStyle w:val="Heading4"/>
        <w:rPr>
          <w:lang w:val="en-US"/>
        </w:rPr>
      </w:pPr>
      <w:r>
        <w:rPr>
          <w:lang w:val="en-US"/>
        </w:rPr>
        <w:t>1.1.2. Đối với thử nghiệm cơ bản</w:t>
      </w:r>
      <w:r/>
    </w:p>
    <w:tbl>
      <w:tblPr>
        <w:tblStyle w:val="TableGrid"/>
        <w:tblW w:w="9343" w:type="dxa"/>
        <w:jc w:val="left"/>
        <w:tblInd w:w="0" w:type="dxa"/>
        <w:tblBorders/>
        <w:tblCellMar>
          <w:top w:w="0" w:type="dxa"/>
          <w:left w:w="108" w:type="dxa"/>
          <w:bottom w:w="0" w:type="dxa"/>
          <w:right w:w="108" w:type="dxa"/>
        </w:tblCellMar>
      </w:tblPr>
      <w:tblGrid>
        <w:gridCol w:w="2335"/>
        <w:gridCol w:w="2336"/>
        <w:gridCol w:w="2336"/>
        <w:gridCol w:w="2335"/>
      </w:tblGrid>
      <w:tr>
        <w:trPr/>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6"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335" w:type="dxa"/>
            <w:tcBorders/>
            <w:shd w:fill="auto" w:val="clear"/>
            <w:tcMar>
              <w:left w:w="108" w:type="dxa"/>
            </w:tcMar>
          </w:tcPr>
          <w:p>
            <w:pPr>
              <w:pStyle w:val="Normal"/>
              <w:spacing w:lineRule="auto" w:line="240" w:before="0" w:after="0"/>
              <w:contextualSpacing/>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bl>
    <w:p>
      <w:pPr>
        <w:pStyle w:val="Normal"/>
        <w:rPr>
          <w:lang w:val="en-US"/>
        </w:rPr>
      </w:pPr>
      <w:r>
        <w:rPr>
          <w:lang w:val="en-US"/>
        </w:rPr>
      </w:r>
      <w:r/>
    </w:p>
    <w:p>
      <w:pPr>
        <w:pStyle w:val="Heading2"/>
      </w:pPr>
      <w:bookmarkStart w:id="0" w:name="_GoBack"/>
      <w:bookmarkEnd w:id="0"/>
      <w:r>
        <w:rPr/>
        <w:t>2. Xử lí kết quả kiểm toán mẫu</w:t>
      </w:r>
      <w:r/>
    </w:p>
    <w:p>
      <w:pPr>
        <w:pStyle w:val="Normal"/>
        <w:spacing w:lineRule="auto" w:line="256" w:before="0" w:after="160"/>
        <w:rPr>
          <w:lang w:val="en-US"/>
        </w:rPr>
      </w:pPr>
      <w:bookmarkStart w:id="1" w:name="_GoBack"/>
      <w:bookmarkStart w:id="2" w:name="_GoBack"/>
      <w:bookmarkEnd w:id="2"/>
      <w:r>
        <w:rPr>
          <w:lang w:val="en-US"/>
        </w:rPr>
      </w:r>
      <w:r/>
    </w:p>
    <w:tbl>
      <w:tblPr>
        <w:tblStyle w:val="TableGrid"/>
        <w:tblW w:w="9344" w:type="dxa"/>
        <w:jc w:val="left"/>
        <w:tblInd w:w="0" w:type="dxa"/>
        <w:tblBorders/>
        <w:tblCellMar>
          <w:top w:w="0" w:type="dxa"/>
          <w:left w:w="108" w:type="dxa"/>
          <w:bottom w:w="0" w:type="dxa"/>
          <w:right w:w="108" w:type="dxa"/>
        </w:tblCellMar>
      </w:tblPr>
      <w:tblGrid>
        <w:gridCol w:w="2263"/>
        <w:gridCol w:w="850"/>
        <w:gridCol w:w="6231"/>
      </w:tblGrid>
      <w:tr>
        <w:trPr/>
        <w:tc>
          <w:tcPr>
            <w:tcW w:w="2263"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Thuật ngữ</w:t>
            </w:r>
            <w:r/>
          </w:p>
        </w:tc>
        <w:tc>
          <w:tcPr>
            <w:tcW w:w="850"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Kí hiệu</w:t>
            </w:r>
            <w:r/>
          </w:p>
        </w:tc>
        <w:tc>
          <w:tcPr>
            <w:tcW w:w="6231"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Định nghĩa</w:t>
            </w:r>
            <w:r/>
          </w:p>
        </w:tc>
      </w:tr>
      <w:tr>
        <w:trPr/>
        <w:tc>
          <w:tcPr>
            <w:tcW w:w="2263" w:type="dxa"/>
            <w:tcBorders/>
            <w:shd w:fill="auto" w:val="clear"/>
            <w:tcMar>
              <w:left w:w="108" w:type="dxa"/>
            </w:tcMar>
          </w:tcPr>
          <w:p>
            <w:pPr>
              <w:pStyle w:val="Normal"/>
              <w:spacing w:lineRule="auto" w:line="240" w:before="0" w:after="0"/>
              <w:contextualSpacing/>
              <w:jc w:val="both"/>
              <w:rPr>
                <w:sz w:val="24"/>
                <w:b/>
                <w:sz w:val="24"/>
                <w:b/>
                <w:szCs w:val="24"/>
                <w:lang w:val="en-US"/>
              </w:rPr>
            </w:pPr>
            <w:r>
              <w:rPr>
                <w:rFonts w:eastAsia="Times New Roman" w:cs="Times New Roman" w:ascii="Times New Roman" w:hAnsi="Times New Roman"/>
                <w:b/>
                <w:sz w:val="24"/>
                <w:szCs w:val="24"/>
                <w:lang w:val="en-US" w:eastAsia="vi-VN"/>
              </w:rPr>
              <w:t>Liên quan tới lập kế hoạch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Thuộc tính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thuộc tính được thử nghiệm trong công tác kiểm toán</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Rủi ro chấp nhận được vì cho rằng rủi ro kiểm soát quá thấp</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β</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rủi ro mà kiểm toán viên sẵn sàng chấp nhận rằng hệ thống kiểm soát là hiệu quả hoặc những sai lệch về số dư là chấp nhận được, khi tỉ lệ sai lệch thực tế của tổng thể lớn hơn tỉ lệ sai lệch chấp nhận được. Rủi ro này có bản chất là rủi ro do thừa nhận sai.</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chấp nhận được</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T</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sai lệch mà kiểm toán viên thừa nhận đối với tổng thể và sẵn sàng kết luận hệ thống kiểm soát nội bộ làm việc hiệu quả hoặc những sai lệch về số dư trong quá trình diễn ra giao dịch là chấp nhận được</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ước tính của tổng thể</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E</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chệch mà kiểm toán viên hi vọng tìm ra trong tổng thể trước khi thực hiện các trắc nghiệm</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Kích cỡ mẫu</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n</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kích cỡ được quyết định sau khi cân nhắc các yếu tố trên</w:t>
            </w:r>
            <w:r/>
          </w:p>
        </w:tc>
      </w:tr>
      <w:tr>
        <w:trPr/>
        <w:tc>
          <w:tcPr>
            <w:tcW w:w="2263" w:type="dxa"/>
            <w:tcBorders/>
            <w:shd w:fill="auto" w:val="clear"/>
            <w:tcMar>
              <w:left w:w="108" w:type="dxa"/>
            </w:tcMar>
          </w:tcPr>
          <w:p>
            <w:pPr>
              <w:pStyle w:val="Normal"/>
              <w:spacing w:lineRule="auto" w:line="240" w:before="0" w:after="0"/>
              <w:contextualSpacing/>
              <w:jc w:val="both"/>
              <w:rPr>
                <w:sz w:val="24"/>
                <w:b/>
                <w:sz w:val="24"/>
                <w:b/>
                <w:szCs w:val="24"/>
                <w:lang w:val="en-US"/>
              </w:rPr>
            </w:pPr>
            <w:r>
              <w:rPr>
                <w:rFonts w:eastAsia="Times New Roman" w:cs="Times New Roman" w:ascii="Times New Roman" w:hAnsi="Times New Roman"/>
                <w:b/>
                <w:sz w:val="24"/>
                <w:szCs w:val="24"/>
                <w:lang w:val="en-US" w:eastAsia="vi-VN"/>
              </w:rPr>
              <w:t>Liên quan tới đánh giá kết quả</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Sai lệch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sai lệch về thuộc tính của một đơn vị mẫu</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của mẫu</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k/n</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Bằng số sai lệch trong mẫu chia cho cỡ mẫu</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chặn trên tính toán được.</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U</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sai lệch lớn nhất theo ước tính của tổng thể tại một giá trị rủi ro thừa nhận sai cho trước.</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Giả thiết về phần trăm sai lệch trung bình trong tổng thể</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Phần trăm sai lệch trung bình trong tổng thể giá trị tiền tệ có chứa đựng một sai sót; t</w:t>
            </w:r>
            <w:r>
              <w:rPr>
                <w:rFonts w:eastAsia="Times New Roman" w:cs="Times New Roman" w:ascii="Times New Roman" w:hAnsi="Times New Roman"/>
                <w:sz w:val="24"/>
                <w:szCs w:val="24"/>
                <w:vertAlign w:val="subscript"/>
                <w:lang w:val="en-US" w:eastAsia="vi-VN"/>
              </w:rPr>
              <w:t>U</w:t>
            </w:r>
            <w:r>
              <w:rPr>
                <w:rFonts w:eastAsia="Times New Roman" w:cs="Times New Roman" w:ascii="Times New Roman" w:hAnsi="Times New Roman"/>
                <w:sz w:val="24"/>
                <w:szCs w:val="24"/>
                <w:lang w:val="en-US" w:eastAsia="vi-VN"/>
              </w:rPr>
              <w:t xml:space="preserve"> là tổng phần trăm mức sai lệch vượt quá, t</w:t>
            </w:r>
            <w:r>
              <w:rPr>
                <w:rFonts w:eastAsia="Times New Roman" w:cs="Times New Roman" w:ascii="Times New Roman" w:hAnsi="Times New Roman"/>
                <w:sz w:val="24"/>
                <w:szCs w:val="24"/>
                <w:vertAlign w:val="subscript"/>
                <w:lang w:val="en-US" w:eastAsia="vi-VN"/>
              </w:rPr>
              <w:t>D</w:t>
            </w:r>
            <w:r>
              <w:rPr>
                <w:rFonts w:eastAsia="Times New Roman" w:cs="Times New Roman" w:ascii="Times New Roman" w:hAnsi="Times New Roman"/>
                <w:sz w:val="24"/>
                <w:szCs w:val="24"/>
                <w:lang w:val="en-US" w:eastAsia="vi-VN"/>
              </w:rPr>
              <w:t xml:space="preserve"> là tổng phần trăm mức sai lệch giảm bớt.</w:t>
            </w:r>
            <w:r/>
          </w:p>
        </w:tc>
      </w:tr>
    </w:tbl>
    <w:p>
      <w:pPr>
        <w:pStyle w:val="Normal"/>
      </w:pPr>
      <w:r>
        <w:rPr/>
      </w:r>
      <w:r/>
    </w:p>
    <w:sectPr>
      <w:type w:val="nextPage"/>
      <w:pgSz w:w="11906" w:h="16838"/>
      <w:pgMar w:left="1309" w:right="1133" w:header="0" w:top="1418" w:footer="0" w:bottom="1276" w:gutter="0"/>
      <w:pgNumType w:start="1" w:fmt="decimal"/>
      <w:formProt w:val="false"/>
      <w:textDirection w:val="lrTb"/>
      <w:docGrid w:type="default" w:linePitch="381"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OAADBJ+TimesNew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w:cs="Calibri Light" w:asciiTheme="majorHAnsi" w:cstheme="majorHAnsi" w:eastAsiaTheme="minorHAnsi" w:hAnsiTheme="majorHAnsi"/>
        <w:sz w:val="26"/>
        <w:szCs w:val="26"/>
        <w:lang w:val="vi-V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0" w:name="heading 1"/>
    <w:lsdException w:qFormat="1" w:semiHidden="1" w:unhideWhenUsed="1" w:uiPriority="0" w:name="heading 2"/>
    <w:lsdException w:qFormat="1" w:semiHidden="1" w:unhideWhenUsed="1" w:uiPriority="0" w:name="heading 3"/>
    <w:lsdException w:qFormat="1" w:semiHidden="1" w:unhideWhenUsed="1" w:uiPriority="0"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uiPriority="0"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uiPriority="0"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uiPriority="0" w:name="Body Text"/>
    <w:lsdException w:semiHidden="1" w:unhideWhenUsed="1" w:uiPriority="0"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uiPriority="0" w:name="Body Text 2"/>
    <w:lsdException w:semiHidden="1" w:unhideWhenUsed="1" w:uiPriority="0" w:name="Body Text 3"/>
    <w:lsdException w:semiHidden="1" w:unhideWhenUsed="1" w:uiPriority="0" w:name="Body Text Indent 2"/>
    <w:lsdException w:semiHidden="1" w:unhideWhenUsed="1" w:uiPriority="0" w:name="Body Text Indent 3"/>
    <w:lsdException w:semiHidden="1" w:unhideWhenUsed="1" w:name="Block Text"/>
    <w:lsdException w:semiHidden="1" w:unhideWhenUsed="1" w:name="Hyperlink"/>
    <w:lsdException w:semiHidden="1" w:unhideWhenUsed="1" w:uiPriority="0"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uiPriority="0"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uiPriority="0" w:name="Balloon Text"/>
    <w:lsdException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a0ed9"/>
    <w:pPr>
      <w:widowControl/>
      <w:suppressAutoHyphens w:val="true"/>
      <w:bidi w:val="0"/>
      <w:spacing w:lineRule="auto" w:line="360" w:before="0" w:after="0"/>
      <w:contextualSpacing/>
      <w:jc w:val="left"/>
    </w:pPr>
    <w:rPr>
      <w:rFonts w:ascii="Calibri Light" w:hAnsi="Calibri Light" w:eastAsia="Calibri" w:cs="Calibri Light" w:asciiTheme="majorHAnsi" w:cstheme="majorHAnsi" w:eastAsiaTheme="minorHAnsi" w:hAnsiTheme="majorHAnsi"/>
      <w:color w:val="auto"/>
      <w:sz w:val="26"/>
      <w:szCs w:val="26"/>
      <w:lang w:val="vi-VN" w:eastAsia="en-US" w:bidi="ar-SA"/>
    </w:rPr>
  </w:style>
  <w:style w:type="paragraph" w:styleId="Heading1">
    <w:name w:val="Heading 1"/>
    <w:basedOn w:val="Normal"/>
    <w:next w:val="Normal"/>
    <w:link w:val="Heading1Char"/>
    <w:qFormat/>
    <w:rsid w:val="0023545b"/>
    <w:pPr>
      <w:keepNext/>
      <w:ind w:firstLine="720"/>
      <w:jc w:val="center"/>
      <w:outlineLvl w:val="0"/>
    </w:pPr>
    <w:rPr>
      <w:rFonts w:eastAsia="Times New Roman" w:cs="Arial"/>
      <w:b/>
      <w:bCs/>
      <w:caps/>
      <w:szCs w:val="32"/>
      <w:lang w:val="en-US"/>
    </w:rPr>
  </w:style>
  <w:style w:type="paragraph" w:styleId="Heading2">
    <w:name w:val="Heading 2"/>
    <w:basedOn w:val="Normal"/>
    <w:next w:val="Normal"/>
    <w:link w:val="Heading2Char"/>
    <w:qFormat/>
    <w:rsid w:val="0023545b"/>
    <w:pPr>
      <w:keepNext/>
      <w:ind w:firstLine="720"/>
      <w:jc w:val="both"/>
      <w:outlineLvl w:val="1"/>
    </w:pPr>
    <w:rPr>
      <w:rFonts w:eastAsia="Times New Roman" w:cs="Arial"/>
      <w:b/>
      <w:bCs/>
      <w:iCs/>
      <w:color w:val="FF0000"/>
      <w:szCs w:val="28"/>
      <w:lang w:val="en-US"/>
    </w:rPr>
  </w:style>
  <w:style w:type="paragraph" w:styleId="Heading3">
    <w:name w:val="Heading 3"/>
    <w:basedOn w:val="Normal"/>
    <w:next w:val="Normal"/>
    <w:link w:val="Heading3Char"/>
    <w:qFormat/>
    <w:rsid w:val="0023545b"/>
    <w:pPr>
      <w:keepNext/>
      <w:ind w:firstLine="720"/>
      <w:jc w:val="both"/>
      <w:outlineLvl w:val="2"/>
    </w:pPr>
    <w:rPr>
      <w:rFonts w:cs="Arial"/>
      <w:b/>
      <w:bCs/>
      <w:i/>
      <w:color w:val="1F4E79" w:themeColor="accent1" w:themeShade="80"/>
      <w:szCs w:val="36"/>
      <w:lang w:val="en-US"/>
    </w:rPr>
  </w:style>
  <w:style w:type="paragraph" w:styleId="Heading4">
    <w:name w:val="Heading 4"/>
    <w:basedOn w:val="Normal"/>
    <w:next w:val="Normal"/>
    <w:link w:val="Heading4Char"/>
    <w:unhideWhenUsed/>
    <w:qFormat/>
    <w:rsid w:val="0023545b"/>
    <w:pPr>
      <w:ind w:firstLine="720"/>
      <w:jc w:val="both"/>
      <w:outlineLvl w:val="3"/>
    </w:pPr>
    <w:rPr>
      <w:rFonts w:eastAsia="Times New Roman"/>
      <w:b/>
      <w:szCs w:val="36"/>
    </w:rPr>
  </w:style>
  <w:style w:type="paragraph" w:styleId="Heading5">
    <w:name w:val="Heading 5"/>
    <w:basedOn w:val="Normal"/>
    <w:next w:val="Normal"/>
    <w:link w:val="Heading5Char"/>
    <w:uiPriority w:val="9"/>
    <w:unhideWhenUsed/>
    <w:qFormat/>
    <w:rsid w:val="0023545b"/>
    <w:pPr>
      <w:ind w:firstLine="720"/>
      <w:jc w:val="both"/>
      <w:outlineLvl w:val="4"/>
    </w:pPr>
    <w:rPr>
      <w:rFonts w:eastAsia="Times New Roman"/>
      <w:b/>
      <w:szCs w:val="36"/>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rsid w:val="0084252e"/>
    <w:rPr/>
  </w:style>
  <w:style w:type="character" w:styleId="FooterChar" w:customStyle="1">
    <w:name w:val="Footer Char"/>
    <w:basedOn w:val="DefaultParagraphFont"/>
    <w:link w:val="Footer"/>
    <w:uiPriority w:val="99"/>
    <w:rsid w:val="0084252e"/>
    <w:rPr/>
  </w:style>
  <w:style w:type="character" w:styleId="Heading1Char" w:customStyle="1">
    <w:name w:val="Heading 1 Char"/>
    <w:basedOn w:val="DefaultParagraphFont"/>
    <w:link w:val="Heading1"/>
    <w:rsid w:val="0023545b"/>
    <w:rPr>
      <w:rFonts w:eastAsia="Times New Roman" w:cs="Arial"/>
      <w:b/>
      <w:bCs/>
      <w:caps/>
      <w:szCs w:val="32"/>
      <w:lang w:val="en-US"/>
    </w:rPr>
  </w:style>
  <w:style w:type="character" w:styleId="Heading2Char" w:customStyle="1">
    <w:name w:val="Heading 2 Char"/>
    <w:basedOn w:val="DefaultParagraphFont"/>
    <w:link w:val="Heading2"/>
    <w:rsid w:val="0023545b"/>
    <w:rPr>
      <w:rFonts w:eastAsia="Times New Roman" w:cs="Arial"/>
      <w:b/>
      <w:bCs/>
      <w:iCs/>
      <w:color w:val="FF0000"/>
      <w:szCs w:val="28"/>
      <w:lang w:val="en-US"/>
    </w:rPr>
  </w:style>
  <w:style w:type="character" w:styleId="Heading3Char" w:customStyle="1">
    <w:name w:val="Heading 3 Char"/>
    <w:basedOn w:val="DefaultParagraphFont"/>
    <w:link w:val="Heading3"/>
    <w:rsid w:val="0023545b"/>
    <w:rPr>
      <w:rFonts w:cs="Arial"/>
      <w:b/>
      <w:bCs/>
      <w:i/>
      <w:color w:val="1F4E79" w:themeColor="accent1" w:themeShade="80"/>
      <w:szCs w:val="36"/>
      <w:lang w:val="en-US"/>
    </w:rPr>
  </w:style>
  <w:style w:type="character" w:styleId="Heading4Char" w:customStyle="1">
    <w:name w:val="Heading 4 Char"/>
    <w:basedOn w:val="DefaultParagraphFont"/>
    <w:link w:val="Heading4"/>
    <w:uiPriority w:val="9"/>
    <w:rsid w:val="0023545b"/>
    <w:rPr>
      <w:rFonts w:eastAsia="Times New Roman"/>
      <w:b/>
      <w:szCs w:val="36"/>
    </w:rPr>
  </w:style>
  <w:style w:type="character" w:styleId="Heading5Char" w:customStyle="1">
    <w:name w:val="Heading 5 Char"/>
    <w:basedOn w:val="DefaultParagraphFont"/>
    <w:link w:val="Heading5"/>
    <w:uiPriority w:val="9"/>
    <w:rsid w:val="0023545b"/>
    <w:rPr>
      <w:rFonts w:eastAsia="Times New Roman"/>
      <w:b/>
      <w:szCs w:val="36"/>
    </w:rPr>
  </w:style>
  <w:style w:type="character" w:styleId="InternetLink">
    <w:name w:val="Internet Link"/>
    <w:uiPriority w:val="99"/>
    <w:rsid w:val="0023545b"/>
    <w:rPr>
      <w:color w:val="0000FF"/>
      <w:u w:val="single"/>
      <w:lang w:val="zxx" w:eastAsia="zxx" w:bidi="zxx"/>
    </w:rPr>
  </w:style>
  <w:style w:type="character" w:styleId="BodyTextIndentChar" w:customStyle="1">
    <w:name w:val="Body Text Indent Char"/>
    <w:basedOn w:val="DefaultParagraphFont"/>
    <w:link w:val="BodyTextIndent"/>
    <w:rsid w:val="00f46048"/>
    <w:rPr>
      <w:rFonts w:ascii="Times New Roman" w:hAnsi="Times New Roman" w:eastAsia="Times New Roman" w:cs="Times New Roman"/>
      <w:sz w:val="28"/>
      <w:szCs w:val="24"/>
      <w:lang w:val="en-US"/>
    </w:rPr>
  </w:style>
  <w:style w:type="character" w:styleId="BodyTextChar" w:customStyle="1">
    <w:name w:val="Body Text Char"/>
    <w:basedOn w:val="DefaultParagraphFont"/>
    <w:link w:val="BodyText"/>
    <w:rsid w:val="00f46048"/>
    <w:rPr>
      <w:rFonts w:ascii="Times New Roman" w:hAnsi="Times New Roman" w:eastAsia="Times New Roman" w:cs="Times New Roman"/>
      <w:sz w:val="28"/>
      <w:szCs w:val="24"/>
      <w:lang w:val="en-US"/>
    </w:rPr>
  </w:style>
  <w:style w:type="character" w:styleId="BodyTextIndent2Char" w:customStyle="1">
    <w:name w:val="Body Text Indent 2 Char"/>
    <w:basedOn w:val="DefaultParagraphFont"/>
    <w:link w:val="BodyTextIndent2"/>
    <w:rsid w:val="00f46048"/>
    <w:rPr>
      <w:rFonts w:ascii="Times New Roman" w:hAnsi="Times New Roman" w:eastAsia="Times New Roman" w:cs="Times New Roman"/>
      <w:sz w:val="28"/>
      <w:szCs w:val="24"/>
      <w:lang w:val="en-US"/>
    </w:rPr>
  </w:style>
  <w:style w:type="character" w:styleId="BodyText2Char" w:customStyle="1">
    <w:name w:val="Body Text 2 Char"/>
    <w:basedOn w:val="DefaultParagraphFont"/>
    <w:link w:val="BodyText2"/>
    <w:rsid w:val="00f46048"/>
    <w:rPr>
      <w:rFonts w:ascii="Times New Roman" w:hAnsi="Times New Roman" w:eastAsia="Times New Roman" w:cs="Times New Roman"/>
      <w:sz w:val="24"/>
      <w:szCs w:val="24"/>
      <w:lang w:val="en-US"/>
    </w:rPr>
  </w:style>
  <w:style w:type="character" w:styleId="BodyText3Char" w:customStyle="1">
    <w:name w:val="Body Text 3 Char"/>
    <w:basedOn w:val="DefaultParagraphFont"/>
    <w:link w:val="BodyText3"/>
    <w:rsid w:val="00f46048"/>
    <w:rPr>
      <w:rFonts w:ascii="Times New Roman" w:hAnsi="Times New Roman" w:eastAsia="Times New Roman" w:cs="Times New Roman"/>
      <w:sz w:val="22"/>
      <w:szCs w:val="24"/>
      <w:lang w:val="en-US"/>
    </w:rPr>
  </w:style>
  <w:style w:type="character" w:styleId="BodyTextIndent3Char" w:customStyle="1">
    <w:name w:val="Body Text Indent 3 Char"/>
    <w:basedOn w:val="DefaultParagraphFont"/>
    <w:link w:val="BodyTextIndent3"/>
    <w:rsid w:val="00f46048"/>
    <w:rPr>
      <w:rFonts w:ascii="Times New Roman" w:hAnsi="Times New Roman" w:eastAsia="Times New Roman" w:cs="Times New Roman"/>
      <w:sz w:val="28"/>
      <w:szCs w:val="28"/>
      <w:lang w:val="en-US"/>
    </w:rPr>
  </w:style>
  <w:style w:type="character" w:styleId="Pagenumber">
    <w:name w:val="page number"/>
    <w:basedOn w:val="DefaultParagraphFont"/>
    <w:rsid w:val="00f46048"/>
    <w:rPr/>
  </w:style>
  <w:style w:type="character" w:styleId="HinhChar" w:customStyle="1">
    <w:name w:val="Hinh Char"/>
    <w:basedOn w:val="DefaultParagraphFont"/>
    <w:link w:val="Hinh"/>
    <w:rsid w:val="00f46048"/>
    <w:rPr>
      <w:rFonts w:ascii="Times New Roman" w:hAnsi="Times New Roman" w:eastAsia="Times New Roman" w:cs="Times New Roman"/>
      <w:b/>
      <w:bCs/>
      <w:i/>
      <w:iCs/>
      <w:sz w:val="28"/>
      <w:szCs w:val="24"/>
      <w:lang w:val="en-US"/>
    </w:rPr>
  </w:style>
  <w:style w:type="character" w:styleId="FollowedHyperlink">
    <w:name w:val="FollowedHyperlink"/>
    <w:basedOn w:val="DefaultParagraphFont"/>
    <w:rsid w:val="00f46048"/>
    <w:rPr>
      <w:color w:val="800080"/>
      <w:u w:val="single"/>
    </w:rPr>
  </w:style>
  <w:style w:type="character" w:styleId="BalloonTextChar" w:customStyle="1">
    <w:name w:val="Balloon Text Char"/>
    <w:basedOn w:val="DefaultParagraphFont"/>
    <w:link w:val="BalloonText"/>
    <w:semiHidden/>
    <w:rsid w:val="004740b0"/>
    <w:rPr>
      <w:rFonts w:ascii="Tahoma" w:hAnsi="Tahoma" w:eastAsia="Times New Roman" w:cs="Tahoma"/>
      <w:color w:val="008000"/>
      <w:sz w:val="16"/>
      <w:szCs w:val="16"/>
      <w:lang w:val="en-US"/>
    </w:rPr>
  </w:style>
  <w:style w:type="character" w:styleId="FootnoteTextChar" w:customStyle="1">
    <w:name w:val="Footnote Text Char"/>
    <w:basedOn w:val="DefaultParagraphFont"/>
    <w:link w:val="FootnoteText"/>
    <w:uiPriority w:val="99"/>
    <w:rsid w:val="003e6bbe"/>
    <w:rPr>
      <w:rFonts w:ascii="Times New Roman" w:hAnsi="Times New Roman"/>
      <w:sz w:val="20"/>
      <w:szCs w:val="20"/>
    </w:rPr>
  </w:style>
  <w:style w:type="character" w:styleId="Footnotereference">
    <w:name w:val="footnote reference"/>
    <w:basedOn w:val="DefaultParagraphFont"/>
    <w:uiPriority w:val="99"/>
    <w:semiHidden/>
    <w:unhideWhenUsed/>
    <w:rsid w:val="00a23a9d"/>
    <w:rPr>
      <w:vertAlign w:val="superscript"/>
    </w:rPr>
  </w:style>
  <w:style w:type="character" w:styleId="EndnoteTextChar" w:customStyle="1">
    <w:name w:val="Endnote Text Char"/>
    <w:basedOn w:val="DefaultParagraphFont"/>
    <w:link w:val="EndnoteText"/>
    <w:uiPriority w:val="99"/>
    <w:semiHidden/>
    <w:rsid w:val="00bb0beb"/>
    <w:rPr>
      <w:sz w:val="20"/>
      <w:szCs w:val="20"/>
    </w:rPr>
  </w:style>
  <w:style w:type="character" w:styleId="Endnotereference">
    <w:name w:val="endnote reference"/>
    <w:basedOn w:val="DefaultParagraphFont"/>
    <w:uiPriority w:val="99"/>
    <w:semiHidden/>
    <w:unhideWhenUsed/>
    <w:rsid w:val="00bb0beb"/>
    <w:rPr>
      <w:vertAlign w:val="superscript"/>
    </w:rPr>
  </w:style>
  <w:style w:type="character" w:styleId="PlaceholderText">
    <w:name w:val="Placeholder Text"/>
    <w:basedOn w:val="DefaultParagraphFont"/>
    <w:uiPriority w:val="99"/>
    <w:semiHidden/>
    <w:rsid w:val="00176c53"/>
    <w:rPr>
      <w:color w:val="808080"/>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eastAsia="Times New Roman" w:cs="Times New Roman"/>
      <w:color w:val="00000A"/>
    </w:rPr>
  </w:style>
  <w:style w:type="character" w:styleId="ListLabel5">
    <w:name w:val="ListLabel 5"/>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f46048"/>
    <w:pPr>
      <w:spacing w:lineRule="auto" w:line="288"/>
    </w:pPr>
    <w:rPr>
      <w:rFonts w:ascii="Times New Roman" w:hAnsi="Times New Roman" w:eastAsia="Times New Roman" w:cs="Times New Roman"/>
      <w:sz w:val="28"/>
      <w:szCs w:val="24"/>
      <w:lang w:val="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13153"/>
    <w:pPr>
      <w:ind w:left="720" w:hanging="0"/>
    </w:pPr>
    <w:rPr/>
  </w:style>
  <w:style w:type="paragraph" w:styleId="Header">
    <w:name w:val="Header"/>
    <w:basedOn w:val="Normal"/>
    <w:link w:val="HeaderChar"/>
    <w:unhideWhenUsed/>
    <w:rsid w:val="0084252e"/>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84252e"/>
    <w:pPr>
      <w:tabs>
        <w:tab w:val="center" w:pos="4513" w:leader="none"/>
        <w:tab w:val="right" w:pos="9026" w:leader="none"/>
      </w:tabs>
      <w:spacing w:lineRule="auto" w:line="240"/>
    </w:pPr>
    <w:rPr/>
  </w:style>
  <w:style w:type="paragraph" w:styleId="Style21" w:customStyle="1">
    <w:name w:val="Style2"/>
    <w:basedOn w:val="Normal"/>
    <w:autoRedefine/>
    <w:rsid w:val="0023545b"/>
    <w:pPr>
      <w:spacing w:lineRule="auto" w:line="340"/>
      <w:ind w:firstLine="720"/>
      <w:jc w:val="both"/>
      <w:outlineLvl w:val="0"/>
    </w:pPr>
    <w:rPr>
      <w:rFonts w:eastAsia="Times New Roman"/>
      <w:b/>
      <w:sz w:val="28"/>
      <w:szCs w:val="28"/>
      <w:lang w:val="en-US"/>
    </w:rPr>
  </w:style>
  <w:style w:type="paragraph" w:styleId="Style41" w:customStyle="1">
    <w:name w:val="Style4"/>
    <w:basedOn w:val="Normal"/>
    <w:autoRedefine/>
    <w:rsid w:val="0023545b"/>
    <w:pPr>
      <w:spacing w:lineRule="auto" w:line="345"/>
      <w:ind w:firstLine="720"/>
      <w:jc w:val="both"/>
      <w:outlineLvl w:val="0"/>
    </w:pPr>
    <w:rPr>
      <w:rFonts w:eastAsia="Times New Roman"/>
      <w:b/>
      <w:i/>
      <w:color w:val="FF0000"/>
      <w:sz w:val="28"/>
      <w:szCs w:val="28"/>
      <w:u w:val="single"/>
      <w:lang w:val="en-US"/>
    </w:rPr>
  </w:style>
  <w:style w:type="paragraph" w:styleId="Style9" w:customStyle="1">
    <w:name w:val="Style9"/>
    <w:basedOn w:val="Normal"/>
    <w:autoRedefine/>
    <w:rsid w:val="00b56125"/>
    <w:pPr>
      <w:ind w:firstLine="720"/>
      <w:jc w:val="center"/>
    </w:pPr>
    <w:rPr>
      <w:rFonts w:eastAsia="Times New Roman"/>
      <w:b/>
      <w:lang w:val="en-US"/>
    </w:rPr>
  </w:style>
  <w:style w:type="paragraph" w:styleId="Style10" w:customStyle="1">
    <w:name w:val="Style10"/>
    <w:basedOn w:val="Normal"/>
    <w:autoRedefine/>
    <w:rsid w:val="0023545b"/>
    <w:pPr>
      <w:ind w:firstLine="720"/>
      <w:jc w:val="center"/>
      <w:outlineLvl w:val="0"/>
    </w:pPr>
    <w:rPr>
      <w:rFonts w:eastAsia="Times New Roman"/>
      <w:b/>
      <w:sz w:val="28"/>
      <w:szCs w:val="28"/>
      <w:lang w:val="en-US"/>
    </w:rPr>
  </w:style>
  <w:style w:type="paragraph" w:styleId="Contents1">
    <w:name w:val="Contents 1"/>
    <w:basedOn w:val="Normal"/>
    <w:next w:val="Normal"/>
    <w:autoRedefine/>
    <w:uiPriority w:val="39"/>
    <w:qFormat/>
    <w:rsid w:val="0089737a"/>
    <w:pPr>
      <w:tabs>
        <w:tab w:val="right" w:pos="9465" w:leader="dot"/>
      </w:tabs>
      <w:ind w:firstLine="720"/>
      <w:jc w:val="center"/>
    </w:pPr>
    <w:rPr>
      <w:rFonts w:cs="Calibri" w:cstheme="minorHAnsi"/>
      <w:b/>
      <w:bCs/>
      <w:szCs w:val="20"/>
    </w:rPr>
  </w:style>
  <w:style w:type="paragraph" w:styleId="Contents2">
    <w:name w:val="Contents 2"/>
    <w:basedOn w:val="Normal"/>
    <w:next w:val="Normal"/>
    <w:autoRedefine/>
    <w:uiPriority w:val="39"/>
    <w:rsid w:val="0023545b"/>
    <w:pPr>
      <w:ind w:left="238" w:firstLine="720"/>
    </w:pPr>
    <w:rPr>
      <w:rFonts w:cs="Calibri" w:cstheme="minorHAnsi"/>
      <w:b/>
      <w:iCs/>
      <w:color w:val="FF0000"/>
      <w:szCs w:val="20"/>
    </w:rPr>
  </w:style>
  <w:style w:type="paragraph" w:styleId="Contents3">
    <w:name w:val="Contents 3"/>
    <w:basedOn w:val="Normal"/>
    <w:next w:val="Normal"/>
    <w:autoRedefine/>
    <w:uiPriority w:val="39"/>
    <w:rsid w:val="0023545b"/>
    <w:pPr>
      <w:ind w:left="482" w:firstLine="720"/>
    </w:pPr>
    <w:rPr>
      <w:rFonts w:cs="Calibri" w:cstheme="minorHAnsi"/>
      <w:color w:val="1F4E79" w:themeColor="accent1" w:themeShade="80"/>
      <w:szCs w:val="20"/>
    </w:rPr>
  </w:style>
  <w:style w:type="paragraph" w:styleId="Contents4">
    <w:name w:val="Contents 4"/>
    <w:basedOn w:val="Normal"/>
    <w:next w:val="Normal"/>
    <w:autoRedefine/>
    <w:uiPriority w:val="39"/>
    <w:rsid w:val="0023545b"/>
    <w:pPr>
      <w:ind w:left="720" w:firstLine="720"/>
    </w:pPr>
    <w:rPr>
      <w:rFonts w:cs="Calibri" w:cstheme="minorHAnsi"/>
      <w:szCs w:val="20"/>
    </w:rPr>
  </w:style>
  <w:style w:type="paragraph" w:styleId="TextBodyIndent">
    <w:name w:val="Text Body Indent"/>
    <w:basedOn w:val="Normal"/>
    <w:link w:val="BodyTextIndentChar"/>
    <w:rsid w:val="00f46048"/>
    <w:pPr>
      <w:ind w:firstLine="540"/>
    </w:pPr>
    <w:rPr>
      <w:rFonts w:ascii="Times New Roman" w:hAnsi="Times New Roman" w:eastAsia="Times New Roman" w:cs="Times New Roman"/>
      <w:sz w:val="28"/>
      <w:szCs w:val="24"/>
      <w:lang w:val="en-US"/>
    </w:rPr>
  </w:style>
  <w:style w:type="paragraph" w:styleId="BodyTextIndent2">
    <w:name w:val="Body Text Indent 2"/>
    <w:basedOn w:val="Normal"/>
    <w:link w:val="BodyTextIndent2Char"/>
    <w:rsid w:val="00f46048"/>
    <w:pPr>
      <w:tabs>
        <w:tab w:val="left" w:pos="180" w:leader="none"/>
      </w:tabs>
      <w:ind w:firstLine="540"/>
      <w:jc w:val="both"/>
    </w:pPr>
    <w:rPr>
      <w:rFonts w:ascii="Times New Roman" w:hAnsi="Times New Roman" w:eastAsia="Times New Roman" w:cs="Times New Roman"/>
      <w:sz w:val="28"/>
      <w:szCs w:val="24"/>
      <w:lang w:val="en-US"/>
    </w:rPr>
  </w:style>
  <w:style w:type="paragraph" w:styleId="BodyText2">
    <w:name w:val="Body Text 2"/>
    <w:basedOn w:val="Normal"/>
    <w:link w:val="BodyText2Char"/>
    <w:rsid w:val="00f46048"/>
    <w:pPr>
      <w:spacing w:lineRule="auto" w:line="240"/>
      <w:jc w:val="center"/>
    </w:pPr>
    <w:rPr>
      <w:rFonts w:ascii="Times New Roman" w:hAnsi="Times New Roman" w:eastAsia="Times New Roman" w:cs="Times New Roman"/>
      <w:sz w:val="24"/>
      <w:szCs w:val="24"/>
      <w:lang w:val="en-US"/>
    </w:rPr>
  </w:style>
  <w:style w:type="paragraph" w:styleId="BodyText3">
    <w:name w:val="Body Text 3"/>
    <w:basedOn w:val="Normal"/>
    <w:link w:val="BodyText3Char"/>
    <w:rsid w:val="00f46048"/>
    <w:pPr>
      <w:spacing w:lineRule="auto" w:line="240"/>
      <w:jc w:val="center"/>
    </w:pPr>
    <w:rPr>
      <w:rFonts w:ascii="Times New Roman" w:hAnsi="Times New Roman" w:eastAsia="Times New Roman" w:cs="Times New Roman"/>
      <w:sz w:val="22"/>
      <w:szCs w:val="24"/>
      <w:lang w:val="en-US"/>
    </w:rPr>
  </w:style>
  <w:style w:type="paragraph" w:styleId="BodyTextIndent3">
    <w:name w:val="Body Text Indent 3"/>
    <w:basedOn w:val="Normal"/>
    <w:link w:val="BodyTextIndent3Char"/>
    <w:rsid w:val="00f46048"/>
    <w:pPr>
      <w:tabs>
        <w:tab w:val="left" w:pos="180" w:leader="none"/>
        <w:tab w:val="left" w:pos="360" w:leader="none"/>
        <w:tab w:val="left" w:pos="900" w:leader="none"/>
      </w:tabs>
      <w:ind w:firstLine="720"/>
      <w:jc w:val="center"/>
    </w:pPr>
    <w:rPr>
      <w:rFonts w:ascii="Times New Roman" w:hAnsi="Times New Roman" w:eastAsia="Times New Roman" w:cs="Times New Roman"/>
      <w:sz w:val="28"/>
      <w:szCs w:val="28"/>
      <w:lang w:val="en-US"/>
    </w:rPr>
  </w:style>
  <w:style w:type="paragraph" w:styleId="Style11" w:customStyle="1">
    <w:name w:val="Style1"/>
    <w:basedOn w:val="Heading4"/>
    <w:rsid w:val="00f46048"/>
    <w:pPr>
      <w:tabs>
        <w:tab w:val="left" w:pos="180" w:leader="none"/>
        <w:tab w:val="left" w:pos="360" w:leader="none"/>
      </w:tabs>
      <w:spacing w:before="0" w:after="0"/>
      <w:ind w:hanging="0"/>
    </w:pPr>
    <w:rPr>
      <w:rFonts w:ascii="Times New Roman" w:hAnsi="Times New Roman" w:cs="Times New Roman"/>
      <w:b w:val="false"/>
      <w:sz w:val="28"/>
      <w:szCs w:val="24"/>
      <w:lang w:val="en-US"/>
    </w:rPr>
  </w:style>
  <w:style w:type="paragraph" w:styleId="Hinh" w:customStyle="1">
    <w:name w:val="Hinh"/>
    <w:basedOn w:val="Normal"/>
    <w:link w:val="HinhChar"/>
    <w:rsid w:val="00f46048"/>
    <w:pPr>
      <w:tabs>
        <w:tab w:val="left" w:pos="180" w:leader="none"/>
        <w:tab w:val="left" w:pos="360" w:leader="none"/>
      </w:tabs>
      <w:jc w:val="center"/>
    </w:pPr>
    <w:rPr>
      <w:rFonts w:ascii="Times New Roman" w:hAnsi="Times New Roman" w:eastAsia="Times New Roman" w:cs="Times New Roman"/>
      <w:b/>
      <w:bCs/>
      <w:i/>
      <w:iCs/>
      <w:sz w:val="28"/>
      <w:szCs w:val="24"/>
      <w:lang w:val="en-US"/>
    </w:rPr>
  </w:style>
  <w:style w:type="paragraph" w:styleId="BalloonText">
    <w:name w:val="Balloon Text"/>
    <w:basedOn w:val="Normal"/>
    <w:link w:val="BalloonTextChar"/>
    <w:semiHidden/>
    <w:rsid w:val="004740b0"/>
    <w:pPr>
      <w:spacing w:lineRule="auto" w:line="240"/>
    </w:pPr>
    <w:rPr>
      <w:rFonts w:ascii="Tahoma" w:hAnsi="Tahoma" w:eastAsia="Times New Roman" w:cs="Tahoma"/>
      <w:color w:val="008000"/>
      <w:sz w:val="16"/>
      <w:szCs w:val="16"/>
      <w:lang w:val="en-US"/>
    </w:rPr>
  </w:style>
  <w:style w:type="paragraph" w:styleId="Style31" w:customStyle="1">
    <w:name w:val="Style3"/>
    <w:basedOn w:val="Normal"/>
    <w:autoRedefine/>
    <w:rsid w:val="004740b0"/>
    <w:pPr>
      <w:jc w:val="both"/>
      <w:outlineLvl w:val="0"/>
    </w:pPr>
    <w:rPr>
      <w:rFonts w:ascii="Times New Roman" w:hAnsi="Times New Roman" w:eastAsia="Times New Roman" w:cs="Times New Roman"/>
      <w:i/>
      <w:sz w:val="28"/>
      <w:szCs w:val="28"/>
      <w:u w:val="single"/>
      <w:lang w:val="en-US"/>
    </w:rPr>
  </w:style>
  <w:style w:type="paragraph" w:styleId="Style51" w:customStyle="1">
    <w:name w:val="Style5"/>
    <w:basedOn w:val="Style11"/>
    <w:autoRedefine/>
    <w:rsid w:val="004740b0"/>
    <w:pPr>
      <w:jc w:val="center"/>
    </w:pPr>
    <w:rPr>
      <w:b/>
      <w:sz w:val="32"/>
      <w:szCs w:val="28"/>
    </w:rPr>
  </w:style>
  <w:style w:type="paragraph" w:styleId="Style61" w:customStyle="1">
    <w:name w:val="Style6"/>
    <w:basedOn w:val="Normal"/>
    <w:autoRedefine/>
    <w:rsid w:val="004740b0"/>
    <w:pPr>
      <w:jc w:val="both"/>
    </w:pPr>
    <w:rPr>
      <w:rFonts w:ascii="Times New Roman" w:hAnsi="Times New Roman" w:eastAsia="Times New Roman" w:cs="Times New Roman"/>
      <w:b/>
      <w:sz w:val="28"/>
      <w:szCs w:val="28"/>
      <w:lang w:val="en-US"/>
    </w:rPr>
  </w:style>
  <w:style w:type="paragraph" w:styleId="Style71" w:customStyle="1">
    <w:name w:val="Style7"/>
    <w:basedOn w:val="Normal"/>
    <w:autoRedefine/>
    <w:rsid w:val="004740b0"/>
    <w:pPr>
      <w:jc w:val="both"/>
    </w:pPr>
    <w:rPr>
      <w:rFonts w:ascii="Times New Roman" w:hAnsi="Times New Roman" w:eastAsia="Times New Roman" w:cs="Times New Roman"/>
      <w:b/>
      <w:i/>
      <w:sz w:val="28"/>
      <w:szCs w:val="28"/>
      <w:lang w:val="en-US"/>
    </w:rPr>
  </w:style>
  <w:style w:type="paragraph" w:styleId="Style81" w:customStyle="1">
    <w:name w:val="Style8"/>
    <w:basedOn w:val="Normal"/>
    <w:autoRedefine/>
    <w:rsid w:val="004740b0"/>
    <w:pPr>
      <w:jc w:val="both"/>
    </w:pPr>
    <w:rPr>
      <w:rFonts w:ascii="Times New Roman" w:hAnsi="Times New Roman" w:eastAsia="Times New Roman" w:cs="Times New Roman"/>
      <w:i/>
      <w:sz w:val="28"/>
      <w:szCs w:val="28"/>
      <w:u w:val="single"/>
      <w:lang w:val="en-US"/>
    </w:rPr>
  </w:style>
  <w:style w:type="paragraph" w:styleId="Footnotetext">
    <w:name w:val="footnote text"/>
    <w:link w:val="FootnoteTextChar"/>
    <w:uiPriority w:val="99"/>
    <w:unhideWhenUsed/>
    <w:rsid w:val="003e6bbe"/>
    <w:pPr>
      <w:widowControl/>
      <w:suppressAutoHyphens w:val="true"/>
      <w:bidi w:val="0"/>
      <w:spacing w:lineRule="auto" w:line="240" w:before="0" w:after="0"/>
      <w:contextualSpacing/>
      <w:jc w:val="left"/>
    </w:pPr>
    <w:rPr>
      <w:rFonts w:ascii="Times New Roman" w:hAnsi="Times New Roman" w:eastAsia="Calibri" w:cs="Calibri Light" w:cstheme="majorHAnsi" w:eastAsiaTheme="minorHAnsi"/>
      <w:color w:val="auto"/>
      <w:sz w:val="20"/>
      <w:szCs w:val="20"/>
      <w:lang w:val="vi-VN" w:eastAsia="en-US" w:bidi="ar-SA"/>
    </w:rPr>
  </w:style>
  <w:style w:type="paragraph" w:styleId="Default" w:customStyle="1">
    <w:name w:val="Default"/>
    <w:rsid w:val="00170bac"/>
    <w:pPr>
      <w:widowControl/>
      <w:suppressAutoHyphens w:val="true"/>
      <w:bidi w:val="0"/>
      <w:spacing w:lineRule="auto" w:line="240" w:before="0" w:after="0"/>
      <w:jc w:val="left"/>
    </w:pPr>
    <w:rPr>
      <w:rFonts w:ascii="OAADBJ+TimesNewRoman" w:hAnsi="OAADBJ+TimesNewRoman" w:cs="OAADBJ+TimesNewRoman" w:eastAsia="Calibri"/>
      <w:color w:val="000000"/>
      <w:sz w:val="24"/>
      <w:szCs w:val="24"/>
      <w:lang w:val="vi-VN" w:eastAsia="en-US" w:bidi="ar-SA"/>
    </w:rPr>
  </w:style>
  <w:style w:type="paragraph" w:styleId="Endnotetext">
    <w:name w:val="endnote text"/>
    <w:basedOn w:val="Normal"/>
    <w:link w:val="EndnoteTextChar"/>
    <w:uiPriority w:val="99"/>
    <w:semiHidden/>
    <w:unhideWhenUsed/>
    <w:rsid w:val="00bb0beb"/>
    <w:pPr>
      <w:spacing w:lineRule="auto" w:line="240"/>
    </w:pPr>
    <w:rPr>
      <w:sz w:val="20"/>
      <w:szCs w:val="20"/>
    </w:rPr>
  </w:style>
  <w:style w:type="paragraph" w:styleId="ContentsHeading">
    <w:name w:val="Contents Heading"/>
    <w:basedOn w:val="Heading1"/>
    <w:next w:val="Normal"/>
    <w:uiPriority w:val="39"/>
    <w:unhideWhenUsed/>
    <w:qFormat/>
    <w:rsid w:val="002a6963"/>
    <w:pPr>
      <w:keepLines/>
      <w:spacing w:lineRule="auto" w:line="256" w:before="240" w:after="0"/>
      <w:ind w:hanging="0"/>
      <w:jc w:val="left"/>
    </w:pPr>
    <w:rPr>
      <w:rFonts w:eastAsia="" w:cs="" w:cstheme="majorBidi" w:eastAsiaTheme="majorEastAsia"/>
      <w:b w:val="false"/>
      <w:bCs w:val="false"/>
      <w:caps w:val="false"/>
      <w:smallCaps w:val="false"/>
      <w:color w:val="2E74B5" w:themeColor="accent1" w:themeShade="bf"/>
      <w:sz w:val="3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46048"/>
    <w:pPr>
      <w:spacing w:lineRule="auto" w:line="240" w:after="0"/>
    </w:pPr>
    <w:rPr>
      <w:lang w:eastAsia="vi-VN"/>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8B438-2C4A-416B-8B10-DB94EAF2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Application>LibreOffice/4.3.1.2$Linux_x86 LibreOffice_project/430m0$Build-2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2013-05-13T02:27:00Z</dcterms:created>
  <dc:creator>Võ Mạnh Tài</dc:creator>
  <dc:language>vi-VN</dc:language>
  <cp:lastPrinted>2013-05-13T02:27:00Z</cp:lastPrinted>
  <dcterms:modified xsi:type="dcterms:W3CDTF">2014-09-26T15:34:47Z</dcterms:modified>
  <cp:revision>181</cp:revision>
</cp:coreProperties>
</file>