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0" w:afterAutospacing="0" w:line="422" w:lineRule="auto"/>
        <w:ind w:left="0" w:firstLine="0"/>
        <w:jc w:val="center"/>
      </w:pPr>
      <w:bookmarkStart w:id="0" w:name="_GoBack"/>
      <w:r>
        <w:rPr>
          <w:rFonts w:ascii="仿宋" w:hAnsi="仿宋" w:eastAsia="仿宋" w:cs="仿宋"/>
          <w:b/>
          <w:bCs/>
          <w:sz w:val="28"/>
          <w:szCs w:val="28"/>
        </w:rPr>
        <w:t>心理高危学生多方会谈记录</w:t>
      </w:r>
    </w:p>
    <w:bookmarkEnd w:id="0"/>
    <w:p>
      <w:pPr>
        <w:pStyle w:val="2"/>
        <w:keepNext w:val="0"/>
        <w:keepLines w:val="0"/>
        <w:widowControl/>
        <w:suppressLineNumbers w:val="0"/>
        <w:spacing w:before="0" w:beforeAutospacing="0" w:after="0" w:afterAutospacing="0" w:line="422" w:lineRule="auto"/>
        <w:ind w:left="0" w:firstLine="6720" w:firstLineChars="2400"/>
        <w:jc w:val="both"/>
      </w:pPr>
      <w:r>
        <w:rPr>
          <w:rFonts w:hint="eastAsia" w:ascii="仿宋" w:hAnsi="仿宋" w:eastAsia="仿宋" w:cs="仿宋"/>
          <w:sz w:val="28"/>
          <w:szCs w:val="28"/>
        </w:rPr>
        <w:t> 编号：</w:t>
      </w:r>
    </w:p>
    <w:tbl>
      <w:tblPr>
        <w:tblW w:w="100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6"/>
        <w:gridCol w:w="2700"/>
        <w:gridCol w:w="1670"/>
        <w:gridCol w:w="1610"/>
        <w:gridCol w:w="1340"/>
        <w:gridCol w:w="11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86" w:hRule="atLeast"/>
        </w:trPr>
        <w:tc>
          <w:tcPr>
            <w:tcW w:w="1606"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left"/>
            </w:pPr>
            <w:r>
              <w:rPr>
                <w:rFonts w:hint="eastAsia" w:ascii="仿宋" w:hAnsi="仿宋" w:eastAsia="仿宋" w:cs="仿宋"/>
                <w:b/>
                <w:bCs/>
                <w:sz w:val="21"/>
                <w:szCs w:val="21"/>
              </w:rPr>
              <w:t>咨询时间</w:t>
            </w:r>
          </w:p>
        </w:tc>
        <w:tc>
          <w:tcPr>
            <w:tcW w:w="2700"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453"/>
              <w:jc w:val="left"/>
            </w:pPr>
            <w:r>
              <w:rPr>
                <w:rFonts w:hint="eastAsia" w:ascii="仿宋" w:hAnsi="仿宋" w:eastAsia="仿宋" w:cs="仿宋"/>
                <w:b/>
                <w:bCs/>
                <w:sz w:val="21"/>
                <w:szCs w:val="21"/>
              </w:rPr>
              <w:t>年</w:t>
            </w:r>
            <w:r>
              <w:rPr>
                <w:rFonts w:hint="eastAsia" w:ascii="仿宋" w:hAnsi="仿宋" w:eastAsia="仿宋" w:cs="仿宋"/>
                <w:b/>
                <w:bCs/>
                <w:sz w:val="21"/>
                <w:szCs w:val="21"/>
                <w:lang w:val="en-US" w:eastAsia="zh-CN"/>
              </w:rPr>
              <w:t xml:space="preserve">     </w:t>
            </w:r>
            <w:r>
              <w:rPr>
                <w:rFonts w:hint="eastAsia" w:ascii="仿宋" w:hAnsi="仿宋" w:eastAsia="仿宋" w:cs="仿宋"/>
                <w:b/>
                <w:bCs/>
                <w:sz w:val="21"/>
                <w:szCs w:val="21"/>
              </w:rPr>
              <w:t> 月 </w:t>
            </w:r>
            <w:r>
              <w:rPr>
                <w:rFonts w:hint="eastAsia" w:ascii="仿宋" w:hAnsi="仿宋" w:eastAsia="仿宋" w:cs="仿宋"/>
                <w:b/>
                <w:bCs/>
                <w:sz w:val="21"/>
                <w:szCs w:val="21"/>
                <w:lang w:val="en-US" w:eastAsia="zh-CN"/>
              </w:rPr>
              <w:t xml:space="preserve">       </w:t>
            </w:r>
            <w:r>
              <w:rPr>
                <w:rFonts w:hint="eastAsia" w:ascii="仿宋" w:hAnsi="仿宋" w:eastAsia="仿宋" w:cs="仿宋"/>
                <w:b/>
                <w:bCs/>
                <w:sz w:val="21"/>
                <w:szCs w:val="21"/>
              </w:rPr>
              <w:t>日</w:t>
            </w:r>
          </w:p>
        </w:tc>
        <w:tc>
          <w:tcPr>
            <w:tcW w:w="1670"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center"/>
            </w:pPr>
            <w:r>
              <w:rPr>
                <w:rFonts w:hint="eastAsia" w:ascii="仿宋" w:hAnsi="仿宋" w:eastAsia="仿宋" w:cs="仿宋"/>
                <w:b/>
                <w:bCs/>
                <w:sz w:val="21"/>
                <w:szCs w:val="21"/>
              </w:rPr>
              <w:t>学生姓名</w:t>
            </w:r>
          </w:p>
        </w:tc>
        <w:tc>
          <w:tcPr>
            <w:tcW w:w="1610"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top"/>
          </w:tcPr>
          <w:p>
            <w:pPr>
              <w:rPr>
                <w:rFonts w:hint="eastAsia" w:ascii="宋体"/>
                <w:sz w:val="24"/>
                <w:szCs w:val="24"/>
              </w:rPr>
            </w:pPr>
          </w:p>
        </w:tc>
        <w:tc>
          <w:tcPr>
            <w:tcW w:w="1340"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center"/>
            </w:pPr>
            <w:r>
              <w:rPr>
                <w:rFonts w:hint="eastAsia" w:ascii="仿宋" w:hAnsi="仿宋" w:eastAsia="仿宋" w:cs="仿宋"/>
                <w:b/>
                <w:bCs/>
                <w:sz w:val="21"/>
                <w:szCs w:val="21"/>
              </w:rPr>
              <w:t>性别</w:t>
            </w:r>
          </w:p>
        </w:tc>
        <w:tc>
          <w:tcPr>
            <w:tcW w:w="1172" w:type="dxa"/>
            <w:tcBorders>
              <w:top w:val="single" w:color="000000" w:sz="2" w:space="0"/>
              <w:left w:val="single" w:color="000000" w:sz="2" w:space="0"/>
              <w:bottom w:val="single" w:color="000000" w:sz="4" w:space="0"/>
              <w:right w:val="single" w:color="000000" w:sz="2" w:space="0"/>
            </w:tcBorders>
            <w:shd w:val="clear"/>
            <w:tcMar>
              <w:top w:w="40" w:type="dxa"/>
              <w:left w:w="73" w:type="dxa"/>
              <w:bottom w:w="40" w:type="dxa"/>
              <w:right w:w="73" w:type="dxa"/>
            </w:tcMar>
            <w:vAlign w:val="top"/>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86" w:hRule="atLeast"/>
        </w:trPr>
        <w:tc>
          <w:tcPr>
            <w:tcW w:w="1606"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left"/>
            </w:pPr>
            <w:r>
              <w:rPr>
                <w:rFonts w:hint="eastAsia" w:ascii="仿宋" w:hAnsi="仿宋" w:eastAsia="仿宋" w:cs="仿宋"/>
                <w:b/>
                <w:bCs/>
                <w:sz w:val="21"/>
                <w:szCs w:val="21"/>
              </w:rPr>
              <w:t>参会人员</w:t>
            </w:r>
          </w:p>
        </w:tc>
        <w:tc>
          <w:tcPr>
            <w:tcW w:w="2700"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top"/>
          </w:tcPr>
          <w:p>
            <w:pPr>
              <w:rPr>
                <w:rFonts w:hint="eastAsia" w:ascii="宋体"/>
                <w:sz w:val="24"/>
                <w:szCs w:val="24"/>
              </w:rPr>
            </w:pPr>
          </w:p>
        </w:tc>
        <w:tc>
          <w:tcPr>
            <w:tcW w:w="1670"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center"/>
            </w:pPr>
            <w:r>
              <w:rPr>
                <w:rFonts w:hint="eastAsia" w:ascii="仿宋" w:hAnsi="仿宋" w:eastAsia="仿宋" w:cs="仿宋"/>
                <w:b/>
                <w:bCs/>
                <w:sz w:val="21"/>
                <w:szCs w:val="21"/>
              </w:rPr>
              <w:t>班级</w:t>
            </w:r>
          </w:p>
        </w:tc>
        <w:tc>
          <w:tcPr>
            <w:tcW w:w="1610"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top"/>
          </w:tcPr>
          <w:p>
            <w:pPr>
              <w:rPr>
                <w:rFonts w:hint="eastAsia" w:ascii="宋体"/>
                <w:sz w:val="24"/>
                <w:szCs w:val="24"/>
              </w:rPr>
            </w:pPr>
          </w:p>
        </w:tc>
        <w:tc>
          <w:tcPr>
            <w:tcW w:w="1340"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center"/>
            </w:pPr>
            <w:r>
              <w:rPr>
                <w:rFonts w:hint="eastAsia" w:ascii="仿宋" w:hAnsi="仿宋" w:eastAsia="仿宋" w:cs="仿宋"/>
                <w:b/>
                <w:bCs/>
                <w:sz w:val="21"/>
                <w:szCs w:val="21"/>
              </w:rPr>
              <w:t>年龄</w:t>
            </w:r>
          </w:p>
        </w:tc>
        <w:tc>
          <w:tcPr>
            <w:tcW w:w="1172" w:type="dxa"/>
            <w:tcBorders>
              <w:top w:val="single" w:color="000000" w:sz="2" w:space="0"/>
              <w:left w:val="single" w:color="000000" w:sz="2" w:space="0"/>
              <w:bottom w:val="single" w:color="000000" w:sz="4" w:space="0"/>
              <w:right w:val="single" w:color="000000" w:sz="2" w:space="0"/>
            </w:tcBorders>
            <w:shd w:val="clear"/>
            <w:tcMar>
              <w:top w:w="40" w:type="dxa"/>
              <w:left w:w="73" w:type="dxa"/>
              <w:bottom w:w="40" w:type="dxa"/>
              <w:right w:w="73" w:type="dxa"/>
            </w:tcMar>
            <w:vAlign w:val="top"/>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86" w:hRule="atLeast"/>
        </w:trPr>
        <w:tc>
          <w:tcPr>
            <w:tcW w:w="1606"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left"/>
            </w:pPr>
            <w:r>
              <w:rPr>
                <w:rFonts w:hint="eastAsia" w:ascii="仿宋" w:hAnsi="仿宋" w:eastAsia="仿宋" w:cs="仿宋"/>
                <w:b/>
                <w:bCs/>
                <w:sz w:val="21"/>
                <w:szCs w:val="21"/>
              </w:rPr>
              <w:t>会议地点</w:t>
            </w:r>
          </w:p>
        </w:tc>
        <w:tc>
          <w:tcPr>
            <w:tcW w:w="4370" w:type="dxa"/>
            <w:gridSpan w:val="2"/>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top"/>
          </w:tcPr>
          <w:p>
            <w:pPr>
              <w:rPr>
                <w:rFonts w:hint="eastAsia" w:ascii="宋体"/>
                <w:sz w:val="24"/>
                <w:szCs w:val="24"/>
              </w:rPr>
            </w:pPr>
          </w:p>
        </w:tc>
        <w:tc>
          <w:tcPr>
            <w:tcW w:w="1610" w:type="dxa"/>
            <w:tcBorders>
              <w:top w:val="single" w:color="000000" w:sz="2" w:space="0"/>
              <w:left w:val="single" w:color="000000" w:sz="2" w:space="0"/>
              <w:bottom w:val="single" w:color="000000" w:sz="4"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center"/>
            </w:pPr>
            <w:r>
              <w:rPr>
                <w:rFonts w:hint="eastAsia" w:ascii="仿宋" w:hAnsi="仿宋" w:eastAsia="仿宋" w:cs="仿宋"/>
                <w:b/>
                <w:bCs/>
                <w:sz w:val="21"/>
                <w:szCs w:val="21"/>
              </w:rPr>
              <w:t>方式</w:t>
            </w:r>
          </w:p>
        </w:tc>
        <w:tc>
          <w:tcPr>
            <w:tcW w:w="2512" w:type="dxa"/>
            <w:gridSpan w:val="2"/>
            <w:tcBorders>
              <w:top w:val="single" w:color="000000" w:sz="2" w:space="0"/>
              <w:left w:val="single" w:color="000000" w:sz="2" w:space="0"/>
              <w:bottom w:val="single" w:color="000000" w:sz="4" w:space="0"/>
              <w:right w:val="single" w:color="000000" w:sz="2" w:space="0"/>
            </w:tcBorders>
            <w:shd w:val="clear"/>
            <w:tcMar>
              <w:top w:w="40" w:type="dxa"/>
              <w:left w:w="73" w:type="dxa"/>
              <w:bottom w:w="40" w:type="dxa"/>
              <w:right w:w="73" w:type="dxa"/>
            </w:tcMar>
            <w:vAlign w:val="top"/>
          </w:tcPr>
          <w:p>
            <w:pPr>
              <w:rPr>
                <w:rFonts w:hint="eastAsia" w:ascii="宋体"/>
                <w:sz w:val="24"/>
                <w:szCs w:val="24"/>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540" w:hRule="atLeast"/>
        </w:trPr>
        <w:tc>
          <w:tcPr>
            <w:tcW w:w="1606" w:type="dxa"/>
            <w:tcBorders>
              <w:top w:val="single" w:color="000000" w:sz="2" w:space="0"/>
              <w:left w:val="single" w:color="000000" w:sz="2" w:space="0"/>
              <w:bottom w:val="single" w:color="000000" w:sz="2"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center"/>
            </w:pPr>
            <w:r>
              <w:rPr>
                <w:rFonts w:hint="eastAsia" w:ascii="仿宋" w:hAnsi="仿宋" w:eastAsia="仿宋" w:cs="仿宋"/>
                <w:b/>
                <w:bCs/>
                <w:sz w:val="21"/>
                <w:szCs w:val="21"/>
              </w:rPr>
              <w:t>会谈缘由</w:t>
            </w:r>
          </w:p>
        </w:tc>
        <w:tc>
          <w:tcPr>
            <w:tcW w:w="8492" w:type="dxa"/>
            <w:gridSpan w:val="5"/>
            <w:tcBorders>
              <w:top w:val="single" w:color="000000" w:sz="2" w:space="0"/>
              <w:left w:val="single" w:color="000000" w:sz="2" w:space="0"/>
              <w:bottom w:val="single" w:color="000000" w:sz="2" w:space="0"/>
              <w:right w:val="single" w:color="000000" w:sz="2" w:space="0"/>
            </w:tcBorders>
            <w:shd w:val="clear"/>
            <w:tcMar>
              <w:top w:w="40" w:type="dxa"/>
              <w:left w:w="73" w:type="dxa"/>
              <w:bottom w:w="40" w:type="dxa"/>
              <w:right w:w="73" w:type="dxa"/>
            </w:tcMar>
            <w:vAlign w:val="center"/>
          </w:tcPr>
          <w:p>
            <w:pPr>
              <w:pStyle w:val="2"/>
              <w:keepNext w:val="0"/>
              <w:keepLines w:val="0"/>
              <w:widowControl/>
              <w:suppressLineNumbers w:val="0"/>
              <w:spacing w:before="0" w:beforeAutospacing="0" w:after="0" w:afterAutospacing="0" w:line="280" w:lineRule="auto"/>
              <w:ind w:left="107" w:firstLine="240"/>
              <w:jc w:val="both"/>
            </w:pPr>
            <w:r>
              <w:rPr>
                <w:rFonts w:hint="eastAsia" w:ascii="仿宋" w:hAnsi="仿宋" w:eastAsia="仿宋" w:cs="仿宋"/>
                <w:sz w:val="21"/>
                <w:szCs w:val="21"/>
              </w:rPr>
              <w:t>该生在心理普查中PHQ-9和MHT的得分均偏高，心理辅导中心对她进 行约谈后，发现其兴趣丧失、无愉快感，疲乏感明显，有自杀意念，有过自杀企图，表现出明显的抑郁倾向。无法按时按量完成学习任务，社会功能损伤明显。 心理辅导中心建议来访者转介到专业治疗机构进行诊断和治疗，于是通过班主任联系家长，启动多方会谈。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699" w:hRule="atLeast"/>
        </w:trPr>
        <w:tc>
          <w:tcPr>
            <w:tcW w:w="1606" w:type="dxa"/>
            <w:tcBorders>
              <w:top w:val="single" w:color="000000" w:sz="2" w:space="0"/>
              <w:left w:val="single" w:color="000000" w:sz="2" w:space="0"/>
              <w:bottom w:val="single" w:color="000000" w:sz="2"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center"/>
            </w:pPr>
            <w:r>
              <w:rPr>
                <w:rFonts w:hint="eastAsia" w:ascii="仿宋" w:hAnsi="仿宋" w:eastAsia="仿宋" w:cs="仿宋"/>
                <w:b/>
                <w:bCs/>
                <w:sz w:val="21"/>
                <w:szCs w:val="21"/>
              </w:rPr>
              <w:t>家校沟通内容记录</w:t>
            </w:r>
          </w:p>
        </w:tc>
        <w:tc>
          <w:tcPr>
            <w:tcW w:w="8492" w:type="dxa"/>
            <w:gridSpan w:val="5"/>
            <w:tcBorders>
              <w:top w:val="single" w:color="000000" w:sz="2" w:space="0"/>
              <w:left w:val="single" w:color="000000" w:sz="2" w:space="0"/>
              <w:bottom w:val="single" w:color="000000" w:sz="2" w:space="0"/>
              <w:right w:val="single" w:color="000000" w:sz="2" w:space="0"/>
            </w:tcBorders>
            <w:shd w:val="clear"/>
            <w:tcMar>
              <w:top w:w="40" w:type="dxa"/>
              <w:left w:w="73" w:type="dxa"/>
              <w:bottom w:w="40" w:type="dxa"/>
              <w:right w:w="73" w:type="dxa"/>
            </w:tcMar>
            <w:vAlign w:val="center"/>
          </w:tcPr>
          <w:p>
            <w:pPr>
              <w:pStyle w:val="2"/>
              <w:keepNext w:val="0"/>
              <w:keepLines w:val="0"/>
              <w:widowControl/>
              <w:suppressLineNumbers w:val="0"/>
              <w:spacing w:before="0" w:beforeAutospacing="0" w:after="0" w:afterAutospacing="0" w:line="280" w:lineRule="auto"/>
              <w:ind w:left="107" w:firstLine="240"/>
              <w:jc w:val="both"/>
            </w:pPr>
            <w:r>
              <w:rPr>
                <w:rFonts w:hint="eastAsia" w:ascii="仿宋" w:hAnsi="仿宋" w:eastAsia="仿宋" w:cs="仿宋"/>
                <w:sz w:val="21"/>
                <w:szCs w:val="21"/>
              </w:rPr>
              <w:t>来访者的父亲、母亲、高一年级分管副校长、班主任、心理教师参与了本次 家校沟通的面谈。面谈主要包括以下两部分内容。</w:t>
            </w:r>
          </w:p>
          <w:p>
            <w:pPr>
              <w:pStyle w:val="2"/>
              <w:keepNext w:val="0"/>
              <w:keepLines w:val="0"/>
              <w:widowControl/>
              <w:suppressLineNumbers w:val="0"/>
              <w:spacing w:before="0" w:beforeAutospacing="0" w:after="0" w:afterAutospacing="0" w:line="280" w:lineRule="auto"/>
              <w:ind w:left="107" w:firstLine="240"/>
              <w:jc w:val="both"/>
            </w:pPr>
            <w:r>
              <w:rPr>
                <w:rFonts w:hint="eastAsia" w:ascii="仿宋" w:hAnsi="仿宋" w:eastAsia="仿宋" w:cs="仿宋"/>
                <w:b/>
                <w:bCs/>
                <w:sz w:val="21"/>
                <w:szCs w:val="21"/>
              </w:rPr>
              <w:t>一、心理辅导中心反馈来访者心理状态</w:t>
            </w:r>
          </w:p>
          <w:p>
            <w:pPr>
              <w:pStyle w:val="2"/>
              <w:keepNext w:val="0"/>
              <w:keepLines w:val="0"/>
              <w:widowControl/>
              <w:suppressLineNumbers w:val="0"/>
              <w:spacing w:before="0" w:beforeAutospacing="0" w:after="0" w:afterAutospacing="0" w:line="280" w:lineRule="auto"/>
              <w:ind w:left="107" w:firstLine="240"/>
              <w:jc w:val="both"/>
            </w:pPr>
            <w:r>
              <w:rPr>
                <w:rFonts w:hint="eastAsia" w:ascii="仿宋" w:hAnsi="仿宋" w:eastAsia="仿宋" w:cs="仿宋"/>
                <w:sz w:val="21"/>
                <w:szCs w:val="21"/>
              </w:rPr>
              <w:t>心理辅导老师首先反馈了昨天校内心理咨询了解到的来访者的心理健康状况，说明来访者心理问题的严重程度,以及对来访者心理问题进行干预的急迫性。此外，还向家长普及了抑郁症的相关知识,澄清了家长对于抑郁情绪与抑郁症的概念混淆，再一次指出针对孩子目前情况尽快就医的迫切 性，希望家长对来访者的心理状况引起足够的重视。告知家长接下来心理辅 导中心将对来访者进行怎样的心理干预，打消家长的顾虑，建立正确治疗的 信心。</w:t>
            </w:r>
          </w:p>
          <w:p>
            <w:pPr>
              <w:pStyle w:val="2"/>
              <w:keepNext w:val="0"/>
              <w:keepLines w:val="0"/>
              <w:widowControl/>
              <w:suppressLineNumbers w:val="0"/>
              <w:spacing w:before="0" w:beforeAutospacing="0" w:after="0" w:afterAutospacing="0" w:line="280" w:lineRule="auto"/>
              <w:ind w:left="107" w:firstLine="240"/>
              <w:jc w:val="both"/>
            </w:pPr>
            <w:r>
              <w:rPr>
                <w:rFonts w:hint="eastAsia" w:ascii="仿宋" w:hAnsi="仿宋" w:eastAsia="仿宋" w:cs="仿宋"/>
                <w:sz w:val="21"/>
                <w:szCs w:val="21"/>
              </w:rPr>
              <w:t>班主任将来访者自开学以来在校的具体表现向家长做了详细的反馈，表 明来访者日常在校与其沟通被动。明确指出来访者进校以来不止一次单独躲 进厕所哭泣，并且不愿意参加集体活动，虽然班主任多次鼓励，但来访者不予 配合。</w:t>
            </w:r>
          </w:p>
          <w:p>
            <w:pPr>
              <w:pStyle w:val="2"/>
              <w:keepNext w:val="0"/>
              <w:keepLines w:val="0"/>
              <w:widowControl/>
              <w:suppressLineNumbers w:val="0"/>
              <w:spacing w:before="0" w:beforeAutospacing="0" w:after="0" w:afterAutospacing="0" w:line="280" w:lineRule="auto"/>
              <w:ind w:left="107" w:firstLine="240"/>
              <w:jc w:val="both"/>
            </w:pPr>
            <w:r>
              <w:rPr>
                <w:rFonts w:hint="eastAsia" w:ascii="仿宋" w:hAnsi="仿宋" w:eastAsia="仿宋" w:cs="仿宋"/>
                <w:sz w:val="21"/>
                <w:szCs w:val="21"/>
              </w:rPr>
              <w:t>副校长最后向家长强调了身心健康的重要性，表达了家校合作共同为来访 者的心理康复而努力的强烈意愿。希望家长将孩子身心健康放在首位。虽然 家长工作忙碌，但应尽快带孩子去专业机构就诊，并且一再强调越快越好！此外，副校长还向家长介绍了前几届个别特殊学生的出路,供家长参考。热切希望家长现阶段一切以孩子身心健康为念，先养好身体，再考虑学业。</w:t>
            </w:r>
          </w:p>
          <w:p>
            <w:pPr>
              <w:pStyle w:val="2"/>
              <w:keepNext w:val="0"/>
              <w:keepLines w:val="0"/>
              <w:widowControl/>
              <w:suppressLineNumbers w:val="0"/>
              <w:spacing w:before="0" w:beforeAutospacing="0" w:after="0" w:afterAutospacing="0" w:line="280" w:lineRule="auto"/>
              <w:ind w:left="107" w:firstLine="240"/>
              <w:jc w:val="both"/>
            </w:pPr>
            <w:r>
              <w:rPr>
                <w:rFonts w:hint="eastAsia" w:ascii="仿宋" w:hAnsi="仿宋" w:eastAsia="仿宋" w:cs="仿宋"/>
                <w:b/>
                <w:bCs/>
                <w:sz w:val="21"/>
                <w:szCs w:val="21"/>
              </w:rPr>
              <w:t>二、对来访者干预方案的探讨</w:t>
            </w:r>
          </w:p>
          <w:p>
            <w:pPr>
              <w:pStyle w:val="2"/>
              <w:keepNext w:val="0"/>
              <w:keepLines w:val="0"/>
              <w:widowControl/>
              <w:suppressLineNumbers w:val="0"/>
              <w:spacing w:before="0" w:beforeAutospacing="0" w:after="0" w:afterAutospacing="0" w:line="280" w:lineRule="auto"/>
              <w:ind w:left="107" w:firstLine="240"/>
              <w:jc w:val="both"/>
            </w:pPr>
            <w:r>
              <w:rPr>
                <w:rFonts w:hint="eastAsia" w:ascii="仿宋" w:hAnsi="仿宋" w:eastAsia="仿宋" w:cs="仿宋"/>
                <w:sz w:val="21"/>
                <w:szCs w:val="21"/>
              </w:rPr>
              <w:t>对于来访者的心理干预，心理教师从专业角度、副校长从校方角度均强烈 建议家长带来访者去专业的医疗机构进行诊断和治疗，并且越早越好。来访者 家长同意带来访者去就诊，但觉得这周没有时间安排，要下周再安排，心理辅导 中心强调来访者心理问题的严重性和尽早就医的必要性，家长表示理解，但本周无法做出安排，并表示对于来访者在校期间出现的任何问题，责任自负，请校方放心。</w:t>
            </w:r>
          </w:p>
          <w:p>
            <w:pPr>
              <w:pStyle w:val="2"/>
              <w:keepNext w:val="0"/>
              <w:keepLines w:val="0"/>
              <w:widowControl/>
              <w:suppressLineNumbers w:val="0"/>
              <w:spacing w:before="0" w:beforeAutospacing="0" w:after="0" w:afterAutospacing="0" w:line="280" w:lineRule="auto"/>
              <w:ind w:left="107" w:firstLine="240"/>
              <w:jc w:val="both"/>
            </w:pPr>
            <w:r>
              <w:rPr>
                <w:rFonts w:hint="eastAsia" w:ascii="仿宋" w:hAnsi="仿宋" w:eastAsia="仿宋" w:cs="仿宋"/>
                <w:sz w:val="21"/>
                <w:szCs w:val="21"/>
              </w:rPr>
              <w:t>为了保障来访者的生命安全，也为了引起家长的足够重视，心理辅导中心 按照学校的相关规章制度，要求学生本人签订不自我伤害契约书，家长签署安全责任承诺书。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42" w:hRule="atLeast"/>
        </w:trPr>
        <w:tc>
          <w:tcPr>
            <w:tcW w:w="1606" w:type="dxa"/>
            <w:tcBorders>
              <w:top w:val="single" w:color="000000" w:sz="2" w:space="0"/>
              <w:left w:val="single" w:color="000000" w:sz="2" w:space="0"/>
              <w:bottom w:val="single" w:color="000000" w:sz="2"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center"/>
            </w:pPr>
            <w:r>
              <w:rPr>
                <w:rFonts w:hint="eastAsia" w:ascii="仿宋" w:hAnsi="仿宋" w:eastAsia="仿宋" w:cs="仿宋"/>
                <w:b/>
                <w:bCs/>
                <w:sz w:val="21"/>
                <w:szCs w:val="21"/>
              </w:rPr>
              <w:t>咨询效果</w:t>
            </w:r>
          </w:p>
        </w:tc>
        <w:tc>
          <w:tcPr>
            <w:tcW w:w="8492" w:type="dxa"/>
            <w:gridSpan w:val="5"/>
            <w:tcBorders>
              <w:top w:val="single" w:color="000000" w:sz="2" w:space="0"/>
              <w:left w:val="single" w:color="000000" w:sz="2" w:space="0"/>
              <w:bottom w:val="single" w:color="000000" w:sz="2" w:space="0"/>
              <w:right w:val="single" w:color="000000" w:sz="2" w:space="0"/>
            </w:tcBorders>
            <w:shd w:val="clear"/>
            <w:tcMar>
              <w:top w:w="40" w:type="dxa"/>
              <w:left w:w="73" w:type="dxa"/>
              <w:bottom w:w="40" w:type="dxa"/>
              <w:right w:w="73" w:type="dxa"/>
            </w:tcMar>
            <w:vAlign w:val="center"/>
          </w:tcPr>
          <w:p>
            <w:pPr>
              <w:keepNext w:val="0"/>
              <w:keepLines w:val="0"/>
              <w:widowControl/>
              <w:suppressLineNumbers w:val="0"/>
              <w:pBdr>
                <w:top w:val="none" w:color="auto" w:sz="0" w:space="0"/>
                <w:left w:val="none" w:color="auto" w:sz="0" w:space="0"/>
                <w:bottom w:val="none" w:color="auto" w:sz="0" w:space="0"/>
                <w:right w:val="none" w:color="auto" w:sz="0" w:space="0"/>
              </w:pBdr>
              <w:jc w:val="left"/>
            </w:pPr>
            <w:r>
              <w:rPr>
                <w:rFonts w:hint="eastAsia" w:ascii="仿宋" w:hAnsi="仿宋" w:eastAsia="仿宋" w:cs="仿宋"/>
                <w:kern w:val="0"/>
                <w:sz w:val="21"/>
                <w:szCs w:val="21"/>
                <w:bdr w:val="none" w:color="auto" w:sz="0" w:space="0"/>
                <w:lang w:val="en-US" w:eastAsia="zh-CN" w:bidi="ar"/>
              </w:rPr>
              <w:t>1.建立了良好的咨询关系，为来访者提供一条新的求助途径。</w:t>
            </w:r>
          </w:p>
          <w:p>
            <w:pPr>
              <w:keepNext w:val="0"/>
              <w:keepLines w:val="0"/>
              <w:widowControl/>
              <w:suppressLineNumbers w:val="0"/>
              <w:pBdr>
                <w:top w:val="none" w:color="auto" w:sz="0" w:space="0"/>
                <w:left w:val="none" w:color="auto" w:sz="0" w:space="0"/>
                <w:bottom w:val="none" w:color="auto" w:sz="0" w:space="0"/>
                <w:right w:val="none" w:color="auto" w:sz="0" w:space="0"/>
              </w:pBdr>
              <w:jc w:val="left"/>
            </w:pPr>
            <w:r>
              <w:rPr>
                <w:rFonts w:hint="eastAsia" w:ascii="仿宋" w:hAnsi="仿宋" w:eastAsia="仿宋" w:cs="仿宋"/>
                <w:kern w:val="0"/>
                <w:sz w:val="21"/>
                <w:szCs w:val="21"/>
                <w:bdr w:val="none" w:color="auto" w:sz="0" w:space="0"/>
                <w:lang w:val="en-US" w:eastAsia="zh-CN" w:bidi="ar"/>
              </w:rPr>
              <w:t>2.基本了解来访者的症状、严重程度，为心理危机干预提供了基础性资料。</w:t>
            </w:r>
          </w:p>
          <w:p>
            <w:pPr>
              <w:keepNext w:val="0"/>
              <w:keepLines w:val="0"/>
              <w:widowControl/>
              <w:suppressLineNumbers w:val="0"/>
              <w:pBdr>
                <w:top w:val="none" w:color="auto" w:sz="0" w:space="0"/>
                <w:left w:val="none" w:color="auto" w:sz="0" w:space="0"/>
                <w:bottom w:val="none" w:color="auto" w:sz="0" w:space="0"/>
                <w:right w:val="none" w:color="auto" w:sz="0" w:space="0"/>
              </w:pBdr>
              <w:jc w:val="left"/>
            </w:pPr>
            <w:r>
              <w:rPr>
                <w:rFonts w:hint="eastAsia" w:ascii="仿宋" w:hAnsi="仿宋" w:eastAsia="仿宋" w:cs="仿宋"/>
                <w:kern w:val="0"/>
                <w:sz w:val="21"/>
                <w:szCs w:val="21"/>
                <w:bdr w:val="none" w:color="auto" w:sz="0" w:space="0"/>
                <w:lang w:val="en-US" w:eastAsia="zh-CN" w:bidi="ar"/>
              </w:rPr>
              <w:t>3.与来访者家长建立了关系，对来访者的干预达成一致协议。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181" w:hRule="atLeast"/>
        </w:trPr>
        <w:tc>
          <w:tcPr>
            <w:tcW w:w="1606" w:type="dxa"/>
            <w:tcBorders>
              <w:top w:val="single" w:color="000000" w:sz="2" w:space="0"/>
              <w:left w:val="single" w:color="000000" w:sz="2" w:space="0"/>
              <w:bottom w:val="single" w:color="000000" w:sz="2" w:space="0"/>
              <w:right w:val="single" w:color="000000" w:sz="4" w:space="0"/>
            </w:tcBorders>
            <w:shd w:val="clear"/>
            <w:tcMar>
              <w:top w:w="40" w:type="dxa"/>
              <w:left w:w="73" w:type="dxa"/>
              <w:bottom w:w="40" w:type="dxa"/>
              <w:right w:w="80" w:type="dxa"/>
            </w:tcMar>
            <w:vAlign w:val="center"/>
          </w:tcPr>
          <w:p>
            <w:pPr>
              <w:pStyle w:val="2"/>
              <w:keepNext w:val="0"/>
              <w:keepLines w:val="0"/>
              <w:widowControl/>
              <w:suppressLineNumbers w:val="0"/>
              <w:spacing w:before="0" w:beforeAutospacing="0" w:after="0" w:afterAutospacing="0" w:line="240" w:lineRule="auto"/>
              <w:ind w:left="0" w:firstLine="0"/>
              <w:jc w:val="center"/>
            </w:pPr>
            <w:r>
              <w:rPr>
                <w:rFonts w:hint="eastAsia" w:ascii="仿宋" w:hAnsi="仿宋" w:eastAsia="仿宋" w:cs="仿宋"/>
                <w:b/>
                <w:bCs/>
                <w:sz w:val="21"/>
                <w:szCs w:val="21"/>
              </w:rPr>
              <w:t>咨询建议</w:t>
            </w:r>
          </w:p>
        </w:tc>
        <w:tc>
          <w:tcPr>
            <w:tcW w:w="8492" w:type="dxa"/>
            <w:gridSpan w:val="5"/>
            <w:tcBorders>
              <w:top w:val="single" w:color="000000" w:sz="2" w:space="0"/>
              <w:left w:val="single" w:color="000000" w:sz="2" w:space="0"/>
              <w:bottom w:val="single" w:color="000000" w:sz="2" w:space="0"/>
              <w:right w:val="single" w:color="000000" w:sz="2" w:space="0"/>
            </w:tcBorders>
            <w:shd w:val="clear"/>
            <w:tcMar>
              <w:top w:w="40" w:type="dxa"/>
              <w:left w:w="73" w:type="dxa"/>
              <w:bottom w:w="40" w:type="dxa"/>
              <w:right w:w="73" w:type="dxa"/>
            </w:tcMar>
            <w:vAlign w:val="center"/>
          </w:tcPr>
          <w:p>
            <w:pPr>
              <w:keepNext w:val="0"/>
              <w:keepLines w:val="0"/>
              <w:widowControl/>
              <w:numPr>
                <w:numId w:val="0"/>
              </w:numPr>
              <w:suppressLineNumbers w:val="0"/>
              <w:spacing w:before="0" w:beforeAutospacing="1" w:after="0" w:afterAutospacing="1"/>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jc w:val="left"/>
              <w:rPr>
                <w:rFonts w:hint="eastAsia" w:ascii="仿宋" w:hAnsi="仿宋" w:eastAsia="仿宋" w:cs="仿宋"/>
                <w:kern w:val="0"/>
                <w:sz w:val="21"/>
                <w:szCs w:val="21"/>
                <w:bdr w:val="none" w:color="auto" w:sz="0" w:space="0"/>
                <w:lang w:val="en-US" w:eastAsia="zh-CN" w:bidi="ar"/>
              </w:rPr>
            </w:pPr>
            <w:r>
              <w:rPr>
                <w:rFonts w:hint="eastAsia" w:ascii="仿宋" w:hAnsi="仿宋" w:eastAsia="仿宋" w:cs="仿宋"/>
                <w:kern w:val="0"/>
                <w:sz w:val="21"/>
                <w:szCs w:val="21"/>
                <w:bdr w:val="none" w:color="auto" w:sz="0" w:space="0"/>
                <w:lang w:val="en-US" w:eastAsia="zh-CN" w:bidi="ar"/>
              </w:rPr>
              <w:t>1.经咨询师评估，来访者有比较明显的抑郁倾向，超出学校心理辅导的工作范畴。为了不耽误治疗，建议来访者马上到专业的治疗机构进行治疗。</w:t>
            </w:r>
          </w:p>
          <w:p>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eastAsia" w:ascii="仿宋" w:hAnsi="仿宋" w:eastAsia="仿宋" w:cs="仿宋"/>
                <w:kern w:val="0"/>
                <w:sz w:val="21"/>
                <w:szCs w:val="21"/>
                <w:bdr w:val="none" w:color="auto" w:sz="0" w:space="0"/>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pPr>
            <w:r>
              <w:rPr>
                <w:rFonts w:hint="eastAsia" w:ascii="仿宋" w:hAnsi="仿宋" w:eastAsia="仿宋" w:cs="仿宋"/>
                <w:kern w:val="0"/>
                <w:sz w:val="21"/>
                <w:szCs w:val="21"/>
                <w:bdr w:val="none" w:color="auto" w:sz="0" w:space="0"/>
                <w:lang w:val="en-US" w:eastAsia="zh-CN" w:bidi="ar"/>
              </w:rPr>
              <w:t>2.来访者有自杀未遂史，因此马上成立监护小组。来访者在校期间，班主任、年级组和心理辅导中心要做好他的安全保护工作，并启动学校心理高危预警机制。</w:t>
            </w:r>
          </w:p>
          <w:p>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eastAsia" w:ascii="仿宋" w:hAnsi="仿宋" w:eastAsia="仿宋" w:cs="仿宋"/>
                <w:kern w:val="0"/>
                <w:sz w:val="21"/>
                <w:szCs w:val="21"/>
                <w:bdr w:val="none" w:color="auto" w:sz="0" w:space="0"/>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pPr>
            <w:r>
              <w:rPr>
                <w:rFonts w:hint="eastAsia" w:ascii="仿宋" w:hAnsi="仿宋" w:eastAsia="仿宋" w:cs="仿宋"/>
                <w:kern w:val="0"/>
                <w:sz w:val="21"/>
                <w:szCs w:val="21"/>
                <w:bdr w:val="none" w:color="auto" w:sz="0" w:space="0"/>
                <w:lang w:val="en-US" w:eastAsia="zh-CN" w:bidi="ar"/>
              </w:rPr>
              <w:t>3.为了最大限度地解决来访者的问题，咨询师第一时间联系了班主任，向其说明来访者情况和严重程度，并要求班主任尽快安排咨询师与家长进行深入面谈，争取家长的合作态度。</w:t>
            </w:r>
          </w:p>
          <w:p>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eastAsia" w:ascii="仿宋" w:hAnsi="仿宋" w:eastAsia="仿宋" w:cs="仿宋"/>
                <w:kern w:val="0"/>
                <w:sz w:val="21"/>
                <w:szCs w:val="21"/>
                <w:bdr w:val="none" w:color="auto" w:sz="0" w:space="0"/>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pPr>
            <w:r>
              <w:rPr>
                <w:rFonts w:hint="eastAsia" w:ascii="仿宋" w:hAnsi="仿宋" w:eastAsia="仿宋" w:cs="仿宋"/>
                <w:kern w:val="0"/>
                <w:sz w:val="21"/>
                <w:szCs w:val="21"/>
                <w:bdr w:val="none" w:color="auto" w:sz="0" w:space="0"/>
                <w:lang w:val="en-US" w:eastAsia="zh-CN" w:bidi="ar"/>
              </w:rPr>
              <w:t>4.班主任、心理辅导中心实时关注来访者的心理状态动向，并做好来访者的档案记录。</w:t>
            </w:r>
          </w:p>
          <w:p>
            <w:pPr>
              <w:keepNext w:val="0"/>
              <w:keepLines w:val="0"/>
              <w:widowControl/>
              <w:suppressLineNumbers w:val="0"/>
              <w:pBdr>
                <w:top w:val="none" w:color="auto" w:sz="0" w:space="0"/>
                <w:left w:val="none" w:color="auto" w:sz="0" w:space="0"/>
                <w:bottom w:val="none" w:color="auto" w:sz="0" w:space="0"/>
                <w:right w:val="none" w:color="auto" w:sz="0" w:space="0"/>
              </w:pBdr>
              <w:ind w:left="720" w:firstLine="0"/>
              <w:jc w:val="left"/>
              <w:rPr>
                <w:rFonts w:hint="eastAsia" w:ascii="仿宋" w:hAnsi="仿宋" w:eastAsia="仿宋" w:cs="仿宋"/>
                <w:kern w:val="0"/>
                <w:sz w:val="21"/>
                <w:szCs w:val="21"/>
                <w:bdr w:val="none" w:color="auto" w:sz="0" w:space="0"/>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jc w:val="left"/>
            </w:pPr>
            <w:r>
              <w:rPr>
                <w:rFonts w:hint="eastAsia" w:ascii="仿宋" w:hAnsi="仿宋" w:eastAsia="仿宋" w:cs="仿宋"/>
                <w:kern w:val="0"/>
                <w:sz w:val="21"/>
                <w:szCs w:val="21"/>
                <w:bdr w:val="none" w:color="auto" w:sz="0" w:space="0"/>
                <w:lang w:val="en-US" w:eastAsia="zh-CN" w:bidi="ar"/>
              </w:rPr>
              <w:t>5.咨询师第一时间将来访者的特殊情况上报年级组长、学生处、分管校领导等，共同商定出对来访者最有力的保护措施。</w:t>
            </w:r>
          </w:p>
          <w:p>
            <w:pPr>
              <w:keepNext w:val="0"/>
              <w:keepLines w:val="0"/>
              <w:widowControl/>
              <w:numPr>
                <w:numId w:val="0"/>
              </w:numPr>
              <w:suppressLineNumbers w:val="0"/>
              <w:spacing w:before="0" w:beforeAutospacing="1" w:after="0" w:afterAutospacing="1"/>
              <w:ind w:left="1080" w:leftChars="0"/>
            </w:pPr>
          </w:p>
        </w:tc>
      </w:tr>
    </w:tbl>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dlOWJmN2I2M2FjMjk0NWM5NTJkNjdiZWExODgxYzgifQ=="/>
  </w:docVars>
  <w:rsids>
    <w:rsidRoot w:val="36B8242F"/>
    <w:rsid w:val="36B82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2023-04-10T09:37:00Z</dcterms:created>
  <dc:creator>聼雨夢江南</dc:creator>
  <cp:lastModifiedBy>聼雨夢江南</cp:lastModifiedBy>
  <dcterms:modified xsi:type="dcterms:W3CDTF">2023-04-10T09:43:26Z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AE08F80930DF43F68F65B54E8BBD03D5_11</vt:lpwstr>
  </property>
</Properties>
</file>