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B60C" w14:textId="77777777" w:rsidR="00B7720A" w:rsidRDefault="00B7720A" w:rsidP="00B7720A">
      <w:pPr>
        <w:spacing w:line="480" w:lineRule="auto"/>
        <w:jc w:val="righ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09F617" wp14:editId="43B67D92">
            <wp:extent cx="1399540" cy="650426"/>
            <wp:effectExtent l="0" t="0" r="0" b="0"/>
            <wp:docPr id="20" name="Picture 20"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7858" cy="663587"/>
                    </a:xfrm>
                    <a:prstGeom prst="rect">
                      <a:avLst/>
                    </a:prstGeom>
                    <a:noFill/>
                    <a:ln>
                      <a:noFill/>
                    </a:ln>
                  </pic:spPr>
                </pic:pic>
              </a:graphicData>
            </a:graphic>
          </wp:inline>
        </w:drawing>
      </w:r>
    </w:p>
    <w:p w14:paraId="5982492D" w14:textId="2184C80F" w:rsidR="001302F3" w:rsidRDefault="00081167" w:rsidP="00B7720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sidR="00E946CE">
        <w:rPr>
          <w:rFonts w:ascii="Times New Roman" w:hAnsi="Times New Roman" w:cs="Times New Roman"/>
          <w:b/>
          <w:bCs/>
          <w:sz w:val="24"/>
          <w:szCs w:val="24"/>
        </w:rPr>
        <w:t>UTICA COLLEGE</w:t>
      </w:r>
      <w:r w:rsidR="00E946CE">
        <w:rPr>
          <w:rFonts w:ascii="Times New Roman" w:hAnsi="Times New Roman" w:cs="Times New Roman"/>
          <w:b/>
          <w:bCs/>
          <w:sz w:val="24"/>
          <w:szCs w:val="24"/>
        </w:rPr>
        <w:br/>
      </w:r>
      <w:r w:rsidR="00EB1DDC">
        <w:rPr>
          <w:rFonts w:ascii="Times New Roman" w:hAnsi="Times New Roman" w:cs="Times New Roman"/>
          <w:b/>
          <w:bCs/>
          <w:sz w:val="24"/>
          <w:szCs w:val="24"/>
        </w:rPr>
        <w:t>GRADUATE STUDIES</w:t>
      </w:r>
    </w:p>
    <w:p w14:paraId="270F998D" w14:textId="5472F733" w:rsidR="00EB1DDC" w:rsidRDefault="00EB1DDC"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57493D65" w:rsidR="00EB1DDC" w:rsidRPr="00EB1DDC" w:rsidRDefault="00F77A24" w:rsidP="00EB1DDC">
      <w:pPr>
        <w:jc w:val="center"/>
        <w:rPr>
          <w:rFonts w:ascii="Times New Roman" w:hAnsi="Times New Roman" w:cs="Times New Roman"/>
          <w:sz w:val="24"/>
          <w:szCs w:val="24"/>
        </w:rPr>
      </w:pPr>
      <w:r>
        <w:rPr>
          <w:rFonts w:ascii="Times New Roman" w:hAnsi="Times New Roman" w:cs="Times New Roman"/>
          <w:sz w:val="24"/>
          <w:szCs w:val="24"/>
        </w:rPr>
        <w:t>THESIS</w:t>
      </w:r>
    </w:p>
    <w:p w14:paraId="210E8F62" w14:textId="77777777" w:rsidR="00EB1DDC" w:rsidRDefault="00EB1DDC" w:rsidP="00EB1DDC">
      <w:pPr>
        <w:jc w:val="center"/>
        <w:rPr>
          <w:rFonts w:ascii="Times New Roman" w:hAnsi="Times New Roman" w:cs="Times New Roman"/>
          <w:b/>
          <w:bCs/>
          <w:sz w:val="24"/>
          <w:szCs w:val="24"/>
        </w:rPr>
      </w:pPr>
    </w:p>
    <w:p w14:paraId="3038708D" w14:textId="4166F498"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9901C1">
        <w:rPr>
          <w:rFonts w:ascii="Times New Roman" w:hAnsi="Times New Roman" w:cs="Times New Roman"/>
          <w:b/>
          <w:bCs/>
          <w:sz w:val="24"/>
          <w:szCs w:val="24"/>
        </w:rPr>
        <w:t>in</w:t>
      </w:r>
      <w:r w:rsidRPr="00EB1DDC">
        <w:rPr>
          <w:rFonts w:ascii="Times New Roman" w:hAnsi="Times New Roman" w:cs="Times New Roman"/>
          <w:b/>
          <w:bCs/>
          <w:sz w:val="24"/>
          <w:szCs w:val="24"/>
        </w:rPr>
        <w:t xml:space="preserve"> Ovarian </w:t>
      </w:r>
      <w:r w:rsidR="009901C1">
        <w:rPr>
          <w:rFonts w:ascii="Times New Roman" w:hAnsi="Times New Roman" w:cs="Times New Roman"/>
          <w:b/>
          <w:bCs/>
          <w:sz w:val="24"/>
          <w:szCs w:val="24"/>
        </w:rPr>
        <w:t>Cancer</w:t>
      </w:r>
      <w:r w:rsidR="00F60FF8">
        <w:rPr>
          <w:rFonts w:ascii="Times New Roman" w:hAnsi="Times New Roman" w:cs="Times New Roman"/>
          <w:b/>
          <w:bCs/>
          <w:sz w:val="24"/>
          <w:szCs w:val="24"/>
        </w:rPr>
        <w:t xml:space="preserve"> from the TCGA</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0F477AAB"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 of Science</w:t>
      </w:r>
      <w:r w:rsidR="00EB1DDC">
        <w:rPr>
          <w:rFonts w:ascii="Times New Roman" w:hAnsi="Times New Roman" w:cs="Times New Roman"/>
          <w:sz w:val="24"/>
          <w:szCs w:val="24"/>
        </w:rPr>
        <w:t xml:space="preserve"> in Data Science</w:t>
      </w:r>
    </w:p>
    <w:p w14:paraId="5086F5D5" w14:textId="77777777" w:rsidR="00E946CE" w:rsidRDefault="00C52241" w:rsidP="00E946CE">
      <w:pPr>
        <w:jc w:val="center"/>
        <w:rPr>
          <w:rFonts w:ascii="Times New Roman" w:hAnsi="Times New Roman" w:cs="Times New Roman"/>
          <w:b/>
          <w:bCs/>
          <w:noProof/>
          <w:sz w:val="24"/>
          <w:szCs w:val="24"/>
        </w:rPr>
      </w:pPr>
      <w:r>
        <w:rPr>
          <w:rFonts w:ascii="Times New Roman" w:hAnsi="Times New Roman" w:cs="Times New Roman"/>
          <w:sz w:val="24"/>
          <w:szCs w:val="24"/>
        </w:rPr>
        <w:t>July</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47D2BF7D" w14:textId="77777777" w:rsidR="00E946CE" w:rsidRDefault="00E946CE" w:rsidP="00E946CE">
      <w:pPr>
        <w:jc w:val="center"/>
        <w:rPr>
          <w:rFonts w:ascii="Times New Roman" w:hAnsi="Times New Roman" w:cs="Times New Roman"/>
          <w:b/>
          <w:bCs/>
          <w:noProof/>
          <w:sz w:val="24"/>
          <w:szCs w:val="24"/>
        </w:rPr>
      </w:pPr>
    </w:p>
    <w:p w14:paraId="2378D1CB" w14:textId="77777777" w:rsidR="00E946CE" w:rsidRDefault="00E946CE" w:rsidP="00E946CE">
      <w:pPr>
        <w:jc w:val="center"/>
        <w:rPr>
          <w:rFonts w:ascii="Times New Roman" w:hAnsi="Times New Roman" w:cs="Times New Roman"/>
          <w:b/>
          <w:bCs/>
          <w:noProof/>
          <w:sz w:val="24"/>
          <w:szCs w:val="24"/>
        </w:rPr>
      </w:pPr>
    </w:p>
    <w:p w14:paraId="5DEF9C71" w14:textId="0A2E1983" w:rsidR="00E946CE" w:rsidRDefault="00E946CE" w:rsidP="00E946CE">
      <w:pPr>
        <w:jc w:val="center"/>
        <w:rPr>
          <w:rFonts w:ascii="Times New Roman" w:hAnsi="Times New Roman" w:cs="Times New Roman"/>
          <w:b/>
          <w:bCs/>
          <w:noProof/>
          <w:sz w:val="24"/>
          <w:szCs w:val="24"/>
        </w:rPr>
      </w:pPr>
    </w:p>
    <w:p w14:paraId="259563D9" w14:textId="6F244A94" w:rsidR="00E946CE" w:rsidRDefault="00E946CE" w:rsidP="00E946CE">
      <w:pPr>
        <w:jc w:val="center"/>
        <w:rPr>
          <w:rFonts w:ascii="Times New Roman" w:hAnsi="Times New Roman" w:cs="Times New Roman"/>
          <w:b/>
          <w:bCs/>
          <w:noProof/>
          <w:sz w:val="24"/>
          <w:szCs w:val="24"/>
        </w:rPr>
      </w:pPr>
    </w:p>
    <w:p w14:paraId="5E4E0C4C" w14:textId="733A9540" w:rsidR="00E946CE" w:rsidRDefault="00E946CE" w:rsidP="00E946CE">
      <w:pPr>
        <w:jc w:val="center"/>
        <w:rPr>
          <w:rFonts w:ascii="Times New Roman" w:hAnsi="Times New Roman" w:cs="Times New Roman"/>
          <w:b/>
          <w:bCs/>
          <w:noProof/>
          <w:sz w:val="24"/>
          <w:szCs w:val="24"/>
        </w:rPr>
      </w:pPr>
    </w:p>
    <w:p w14:paraId="0351473D" w14:textId="77777777" w:rsidR="00E946CE" w:rsidRDefault="00E946CE" w:rsidP="00E946CE">
      <w:pPr>
        <w:jc w:val="center"/>
        <w:rPr>
          <w:rFonts w:ascii="Times New Roman" w:hAnsi="Times New Roman" w:cs="Times New Roman"/>
          <w:b/>
          <w:bCs/>
          <w:noProof/>
          <w:sz w:val="24"/>
          <w:szCs w:val="24"/>
        </w:rPr>
      </w:pPr>
    </w:p>
    <w:p w14:paraId="5D688F49" w14:textId="547B5104" w:rsidR="00EB1DDC" w:rsidRDefault="00E946CE" w:rsidP="00B7720A">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EB1DDC">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2C50AC2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w:t>
      </w:r>
      <w:r w:rsidR="00CD7661">
        <w:rPr>
          <w:rFonts w:ascii="Times New Roman" w:hAnsi="Times New Roman" w:cs="Times New Roman"/>
          <w:sz w:val="24"/>
          <w:szCs w:val="24"/>
        </w:rPr>
        <w:t xml:space="preserve"> and research</w:t>
      </w:r>
      <w:r w:rsidR="00407462">
        <w:rPr>
          <w:rFonts w:ascii="Times New Roman" w:hAnsi="Times New Roman" w:cs="Times New Roman"/>
          <w:sz w:val="24"/>
          <w:szCs w:val="24"/>
        </w:rPr>
        <w:t xml:space="preserv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39BAEEC5"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 xml:space="preserve">data scientist friend, Hansen </w:t>
      </w:r>
      <w:proofErr w:type="spellStart"/>
      <w:r w:rsidR="00576072">
        <w:rPr>
          <w:rFonts w:ascii="Times New Roman" w:hAnsi="Times New Roman" w:cs="Times New Roman"/>
          <w:sz w:val="24"/>
          <w:szCs w:val="24"/>
        </w:rPr>
        <w:t>Grider</w:t>
      </w:r>
      <w:proofErr w:type="spellEnd"/>
      <w:r w:rsidR="00576072">
        <w:rPr>
          <w:rFonts w:ascii="Times New Roman" w:hAnsi="Times New Roman" w:cs="Times New Roman"/>
          <w:sz w:val="24"/>
          <w:szCs w:val="24"/>
        </w:rPr>
        <w:t>, for also guiding me on various data science issues and topics I have run across which has kept me on course.  His friendship and knowledge have been truly significant.</w:t>
      </w:r>
    </w:p>
    <w:p w14:paraId="2650A22F" w14:textId="77777777" w:rsidR="00AD5E83"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771BF49D" w14:textId="5A7511D9" w:rsidR="00956A4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56A4A">
        <w:rPr>
          <w:rFonts w:ascii="Times New Roman" w:hAnsi="Times New Roman" w:cs="Times New Roman"/>
          <w:sz w:val="24"/>
          <w:szCs w:val="24"/>
        </w:rPr>
        <w:t xml:space="preserve">Dr. </w:t>
      </w:r>
      <w:r w:rsidR="00D30B6E">
        <w:rPr>
          <w:rFonts w:ascii="Times New Roman" w:hAnsi="Times New Roman" w:cs="Times New Roman"/>
          <w:sz w:val="24"/>
          <w:szCs w:val="24"/>
        </w:rPr>
        <w:t xml:space="preserve">Jing-Mao </w:t>
      </w:r>
      <w:r w:rsidR="00956A4A">
        <w:rPr>
          <w:rFonts w:ascii="Times New Roman" w:hAnsi="Times New Roman" w:cs="Times New Roman"/>
          <w:sz w:val="24"/>
          <w:szCs w:val="24"/>
        </w:rPr>
        <w:t xml:space="preserve">Ho should also be mentioned as his classes on visualization have made the results of this thesis much easier to comprehend.  His guidance has been </w:t>
      </w:r>
      <w:r w:rsidR="003F2E4E">
        <w:rPr>
          <w:rFonts w:ascii="Times New Roman" w:hAnsi="Times New Roman" w:cs="Times New Roman"/>
          <w:sz w:val="24"/>
          <w:szCs w:val="24"/>
        </w:rPr>
        <w:t>extremely</w:t>
      </w:r>
      <w:r w:rsidR="00956A4A">
        <w:rPr>
          <w:rFonts w:ascii="Times New Roman" w:hAnsi="Times New Roman" w:cs="Times New Roman"/>
          <w:sz w:val="24"/>
          <w:szCs w:val="24"/>
        </w:rPr>
        <w:t xml:space="preserve"> welcome </w:t>
      </w:r>
      <w:r w:rsidR="00193A3B">
        <w:rPr>
          <w:rFonts w:ascii="Times New Roman" w:hAnsi="Times New Roman" w:cs="Times New Roman"/>
          <w:sz w:val="24"/>
          <w:szCs w:val="24"/>
        </w:rPr>
        <w:t>and his</w:t>
      </w:r>
      <w:r w:rsidR="00BB0705">
        <w:rPr>
          <w:rFonts w:ascii="Times New Roman" w:hAnsi="Times New Roman" w:cs="Times New Roman"/>
          <w:sz w:val="24"/>
          <w:szCs w:val="24"/>
        </w:rPr>
        <w:t xml:space="preserve"> </w:t>
      </w:r>
      <w:r w:rsidR="00956A4A">
        <w:rPr>
          <w:rFonts w:ascii="Times New Roman" w:hAnsi="Times New Roman" w:cs="Times New Roman"/>
          <w:sz w:val="24"/>
          <w:szCs w:val="24"/>
        </w:rPr>
        <w:t>time has been greatly appreciated.</w:t>
      </w:r>
    </w:p>
    <w:p w14:paraId="041B8F4F" w14:textId="343CBC22" w:rsidR="00353DBA" w:rsidRDefault="00111199" w:rsidP="00956A4A">
      <w:pPr>
        <w:spacing w:line="480" w:lineRule="auto"/>
        <w:ind w:firstLine="720"/>
        <w:rPr>
          <w:rFonts w:ascii="Times New Roman" w:hAnsi="Times New Roman" w:cs="Times New Roman"/>
          <w:sz w:val="24"/>
          <w:szCs w:val="24"/>
        </w:rPr>
      </w:pPr>
      <w:r>
        <w:rPr>
          <w:rFonts w:ascii="Times New Roman" w:hAnsi="Times New Roman" w:cs="Times New Roman"/>
          <w:sz w:val="24"/>
          <w:szCs w:val="24"/>
        </w:rPr>
        <w:t>Most importantly I</w:t>
      </w:r>
      <w:r w:rsidR="00CA60F8">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sidR="00CA60F8">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sidR="00CA60F8">
        <w:rPr>
          <w:rFonts w:ascii="Times New Roman" w:hAnsi="Times New Roman" w:cs="Times New Roman"/>
          <w:sz w:val="24"/>
          <w:szCs w:val="24"/>
        </w:rPr>
        <w:t xml:space="preserve"> program</w:t>
      </w:r>
      <w:r w:rsidR="000228F4">
        <w:rPr>
          <w:rFonts w:ascii="Times New Roman" w:hAnsi="Times New Roman" w:cs="Times New Roman"/>
          <w:sz w:val="24"/>
          <w:szCs w:val="24"/>
        </w:rPr>
        <w:t xml:space="preserve"> while also being pregnant with our first child</w:t>
      </w:r>
      <w:r w:rsidR="00145FF7">
        <w:rPr>
          <w:rFonts w:ascii="Times New Roman" w:hAnsi="Times New Roman" w:cs="Times New Roman"/>
          <w:sz w:val="24"/>
          <w:szCs w:val="24"/>
        </w:rPr>
        <w:t xml:space="preserve">, Victor </w:t>
      </w:r>
      <w:r w:rsidR="00422780">
        <w:rPr>
          <w:rFonts w:ascii="Times New Roman" w:hAnsi="Times New Roman" w:cs="Times New Roman"/>
          <w:sz w:val="24"/>
          <w:szCs w:val="24"/>
        </w:rPr>
        <w:t>William</w:t>
      </w:r>
      <w:r w:rsidR="00145FF7">
        <w:rPr>
          <w:rFonts w:ascii="Times New Roman" w:hAnsi="Times New Roman" w:cs="Times New Roman"/>
          <w:sz w:val="24"/>
          <w:szCs w:val="24"/>
        </w:rPr>
        <w:t xml:space="preserve"> Hodges</w:t>
      </w:r>
      <w:r w:rsidR="00CA60F8">
        <w:rPr>
          <w:rFonts w:ascii="Times New Roman" w:hAnsi="Times New Roman" w:cs="Times New Roman"/>
          <w:sz w:val="24"/>
          <w:szCs w:val="24"/>
        </w:rPr>
        <w:t>.</w:t>
      </w:r>
      <w:r w:rsidR="002D30F8">
        <w:rPr>
          <w:rFonts w:ascii="Times New Roman" w:hAnsi="Times New Roman" w:cs="Times New Roman"/>
          <w:sz w:val="24"/>
          <w:szCs w:val="24"/>
        </w:rPr>
        <w:t xml:space="preserve">  Her tolerance</w:t>
      </w:r>
      <w:r w:rsidR="00D465D4">
        <w:rPr>
          <w:rFonts w:ascii="Times New Roman" w:hAnsi="Times New Roman" w:cs="Times New Roman"/>
          <w:sz w:val="24"/>
          <w:szCs w:val="24"/>
        </w:rPr>
        <w:t xml:space="preserve">, </w:t>
      </w:r>
      <w:r w:rsidR="002D30F8">
        <w:rPr>
          <w:rFonts w:ascii="Times New Roman" w:hAnsi="Times New Roman" w:cs="Times New Roman"/>
          <w:sz w:val="24"/>
          <w:szCs w:val="24"/>
        </w:rPr>
        <w:t>understanding</w:t>
      </w:r>
      <w:r w:rsidR="00D465D4">
        <w:rPr>
          <w:rFonts w:ascii="Times New Roman" w:hAnsi="Times New Roman" w:cs="Times New Roman"/>
          <w:sz w:val="24"/>
          <w:szCs w:val="24"/>
        </w:rPr>
        <w:t xml:space="preserve">, and support </w:t>
      </w:r>
      <w:r w:rsidR="0007678B">
        <w:rPr>
          <w:rFonts w:ascii="Times New Roman" w:hAnsi="Times New Roman" w:cs="Times New Roman"/>
          <w:sz w:val="24"/>
          <w:szCs w:val="24"/>
        </w:rPr>
        <w:t>ha</w:t>
      </w:r>
      <w:r w:rsidR="00D465D4">
        <w:rPr>
          <w:rFonts w:ascii="Times New Roman" w:hAnsi="Times New Roman" w:cs="Times New Roman"/>
          <w:sz w:val="24"/>
          <w:szCs w:val="24"/>
        </w:rPr>
        <w:t>s</w:t>
      </w:r>
      <w:r w:rsidR="002D30F8">
        <w:rPr>
          <w:rFonts w:ascii="Times New Roman" w:hAnsi="Times New Roman" w:cs="Times New Roman"/>
          <w:sz w:val="24"/>
          <w:szCs w:val="24"/>
        </w:rPr>
        <w:t xml:space="preserve"> been </w:t>
      </w:r>
      <w:r w:rsidR="00554F34">
        <w:rPr>
          <w:rFonts w:ascii="Times New Roman" w:hAnsi="Times New Roman" w:cs="Times New Roman"/>
          <w:sz w:val="24"/>
          <w:szCs w:val="24"/>
        </w:rPr>
        <w:t xml:space="preserve">the </w:t>
      </w:r>
      <w:r w:rsidR="00D465D4" w:rsidRPr="00D465D4">
        <w:rPr>
          <w:rFonts w:ascii="Times New Roman" w:hAnsi="Times New Roman" w:cs="Times New Roman"/>
          <w:sz w:val="24"/>
          <w:szCs w:val="24"/>
        </w:rPr>
        <w:t>essential</w:t>
      </w:r>
      <w:r w:rsidR="00D465D4">
        <w:rPr>
          <w:rFonts w:ascii="Times New Roman" w:hAnsi="Times New Roman" w:cs="Times New Roman"/>
          <w:i/>
          <w:iCs/>
          <w:sz w:val="24"/>
          <w:szCs w:val="24"/>
        </w:rPr>
        <w:t xml:space="preserve"> </w:t>
      </w:r>
      <w:r w:rsidR="00D465D4" w:rsidRPr="00D465D4">
        <w:rPr>
          <w:rFonts w:ascii="Times New Roman" w:hAnsi="Times New Roman" w:cs="Times New Roman"/>
          <w:sz w:val="24"/>
          <w:szCs w:val="24"/>
        </w:rPr>
        <w:t>element</w:t>
      </w:r>
      <w:r w:rsidR="002D30F8">
        <w:rPr>
          <w:rFonts w:ascii="Times New Roman" w:hAnsi="Times New Roman" w:cs="Times New Roman"/>
          <w:sz w:val="24"/>
          <w:szCs w:val="24"/>
        </w:rPr>
        <w:t xml:space="preserve">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2F6B8EC8"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4</w:t>
      </w:r>
    </w:p>
    <w:p w14:paraId="68BE9292" w14:textId="3A2E6EF5"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25013A">
        <w:rPr>
          <w:rFonts w:ascii="Times New Roman" w:hAnsi="Times New Roman" w:cs="Times New Roman"/>
          <w:sz w:val="24"/>
          <w:szCs w:val="24"/>
        </w:rPr>
        <w:t>7</w:t>
      </w:r>
    </w:p>
    <w:p w14:paraId="4EF75471" w14:textId="02A4F7B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A47CD1">
        <w:rPr>
          <w:rFonts w:ascii="Times New Roman" w:hAnsi="Times New Roman" w:cs="Times New Roman"/>
          <w:sz w:val="24"/>
          <w:szCs w:val="24"/>
        </w:rPr>
        <w:t>4</w:t>
      </w:r>
    </w:p>
    <w:p w14:paraId="5540C869" w14:textId="6C648655"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E63748">
        <w:rPr>
          <w:rFonts w:ascii="Times New Roman" w:hAnsi="Times New Roman" w:cs="Times New Roman"/>
          <w:sz w:val="24"/>
          <w:szCs w:val="24"/>
        </w:rPr>
        <w:t>8</w:t>
      </w:r>
    </w:p>
    <w:p w14:paraId="0FACD028" w14:textId="3CC41FF7"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26FF1">
        <w:rPr>
          <w:rFonts w:ascii="Times New Roman" w:hAnsi="Times New Roman" w:cs="Times New Roman"/>
          <w:sz w:val="24"/>
          <w:szCs w:val="24"/>
        </w:rPr>
        <w:t>3</w:t>
      </w:r>
      <w:r w:rsidR="00EE4200">
        <w:rPr>
          <w:rFonts w:ascii="Times New Roman" w:hAnsi="Times New Roman" w:cs="Times New Roman"/>
          <w:sz w:val="24"/>
          <w:szCs w:val="24"/>
        </w:rPr>
        <w:t>2</w:t>
      </w:r>
    </w:p>
    <w:p w14:paraId="42F15F01" w14:textId="4C336522"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874A9C">
        <w:rPr>
          <w:rFonts w:ascii="Times New Roman" w:hAnsi="Times New Roman" w:cs="Times New Roman"/>
          <w:sz w:val="24"/>
          <w:szCs w:val="24"/>
        </w:rPr>
        <w:t>4</w:t>
      </w:r>
      <w:r w:rsidR="0025013A">
        <w:rPr>
          <w:rFonts w:ascii="Times New Roman" w:hAnsi="Times New Roman" w:cs="Times New Roman"/>
          <w:sz w:val="24"/>
          <w:szCs w:val="24"/>
        </w:rPr>
        <w:t>1</w:t>
      </w:r>
    </w:p>
    <w:p w14:paraId="4EE36D8D" w14:textId="7EA919F4"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787175">
        <w:rPr>
          <w:rFonts w:ascii="Times New Roman" w:hAnsi="Times New Roman" w:cs="Times New Roman"/>
          <w:sz w:val="24"/>
          <w:szCs w:val="24"/>
        </w:rPr>
        <w:t>5</w:t>
      </w:r>
      <w:r w:rsidR="00730643">
        <w:rPr>
          <w:rFonts w:ascii="Times New Roman" w:hAnsi="Times New Roman" w:cs="Times New Roman"/>
          <w:sz w:val="24"/>
          <w:szCs w:val="24"/>
        </w:rPr>
        <w:t>1</w:t>
      </w:r>
    </w:p>
    <w:p w14:paraId="2B82C944" w14:textId="4A159237"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787175">
        <w:rPr>
          <w:rFonts w:ascii="Times New Roman" w:hAnsi="Times New Roman" w:cs="Times New Roman"/>
          <w:sz w:val="24"/>
          <w:szCs w:val="24"/>
        </w:rPr>
        <w:t>5</w:t>
      </w:r>
      <w:r w:rsidR="00730643">
        <w:rPr>
          <w:rFonts w:ascii="Times New Roman" w:hAnsi="Times New Roman" w:cs="Times New Roman"/>
          <w:sz w:val="24"/>
          <w:szCs w:val="24"/>
        </w:rPr>
        <w:t>1</w:t>
      </w:r>
    </w:p>
    <w:p w14:paraId="07F5866D" w14:textId="174CFA3C"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9B4610">
        <w:rPr>
          <w:rFonts w:ascii="Times New Roman" w:hAnsi="Times New Roman" w:cs="Times New Roman"/>
          <w:sz w:val="24"/>
          <w:szCs w:val="24"/>
        </w:rPr>
        <w:t>5</w:t>
      </w:r>
      <w:r w:rsidR="00730643">
        <w:rPr>
          <w:rFonts w:ascii="Times New Roman" w:hAnsi="Times New Roman" w:cs="Times New Roman"/>
          <w:sz w:val="24"/>
          <w:szCs w:val="24"/>
        </w:rPr>
        <w:t>3</w:t>
      </w:r>
    </w:p>
    <w:p w14:paraId="5FC6260A" w14:textId="5038467D"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726FF1">
        <w:rPr>
          <w:rFonts w:ascii="Times New Roman" w:hAnsi="Times New Roman" w:cs="Times New Roman"/>
          <w:sz w:val="24"/>
          <w:szCs w:val="24"/>
        </w:rPr>
        <w:t>5</w:t>
      </w:r>
      <w:r w:rsidR="00730643">
        <w:rPr>
          <w:rFonts w:ascii="Times New Roman" w:hAnsi="Times New Roman" w:cs="Times New Roman"/>
          <w:sz w:val="24"/>
          <w:szCs w:val="24"/>
        </w:rPr>
        <w:t>6</w:t>
      </w:r>
    </w:p>
    <w:p w14:paraId="5E047414" w14:textId="69566B3A" w:rsidR="00811E8E" w:rsidRDefault="00811E8E" w:rsidP="00811E8E">
      <w:pPr>
        <w:spacing w:line="480" w:lineRule="auto"/>
        <w:jc w:val="both"/>
        <w:rPr>
          <w:rFonts w:ascii="Times New Roman" w:hAnsi="Times New Roman" w:cs="Times New Roman"/>
          <w:sz w:val="24"/>
          <w:szCs w:val="24"/>
        </w:rPr>
      </w:pPr>
      <w:r>
        <w:rPr>
          <w:rFonts w:ascii="Times New Roman" w:hAnsi="Times New Roman" w:cs="Times New Roman"/>
          <w:sz w:val="24"/>
          <w:szCs w:val="24"/>
        </w:rPr>
        <w:t>Appendix E………………………………………………………………………………….   5</w:t>
      </w:r>
      <w:r w:rsidR="00730643">
        <w:rPr>
          <w:rFonts w:ascii="Times New Roman" w:hAnsi="Times New Roman" w:cs="Times New Roman"/>
          <w:sz w:val="24"/>
          <w:szCs w:val="24"/>
        </w:rPr>
        <w:t>9</w:t>
      </w:r>
    </w:p>
    <w:p w14:paraId="4493648C" w14:textId="00FBE945"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787175">
        <w:rPr>
          <w:rFonts w:ascii="Times New Roman" w:hAnsi="Times New Roman" w:cs="Times New Roman"/>
          <w:sz w:val="24"/>
          <w:szCs w:val="24"/>
        </w:rPr>
        <w:t>6</w:t>
      </w:r>
      <w:r w:rsidR="004B34E0">
        <w:rPr>
          <w:rFonts w:ascii="Times New Roman" w:hAnsi="Times New Roman" w:cs="Times New Roman"/>
          <w:sz w:val="24"/>
          <w:szCs w:val="24"/>
        </w:rPr>
        <w:t>1</w:t>
      </w:r>
    </w:p>
    <w:p w14:paraId="39F311A7" w14:textId="77777777" w:rsidR="00004FBC" w:rsidRDefault="00004FBC"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1CF80111"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9258F2" w:rsidRPr="00D15DD8">
        <w:rPr>
          <w:rFonts w:ascii="Times New Roman" w:eastAsia="Times New Roman" w:hAnsi="Times New Roman" w:cs="Times New Roman"/>
          <w:color w:val="000000"/>
          <w:sz w:val="24"/>
          <w:szCs w:val="24"/>
        </w:rPr>
        <w:t>.</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in </w:t>
      </w:r>
      <w:r w:rsidR="0075229D">
        <w:rPr>
          <w:rFonts w:ascii="Times New Roman" w:eastAsia="Times New Roman" w:hAnsi="Times New Roman" w:cs="Times New Roman"/>
          <w:color w:val="000000"/>
          <w:sz w:val="24"/>
          <w:szCs w:val="24"/>
        </w:rPr>
        <w:t>RStudio</w:t>
      </w:r>
      <w:r w:rsidR="00F76D61">
        <w:rPr>
          <w:rFonts w:ascii="Times New Roman" w:eastAsia="Times New Roman" w:hAnsi="Times New Roman" w:cs="Times New Roman"/>
          <w:color w:val="000000"/>
          <w:sz w:val="24"/>
          <w:szCs w:val="24"/>
        </w:rPr>
        <w:t xml:space="preserve"> version 1.4.1103</w:t>
      </w:r>
      <w:r w:rsidR="00113DB7" w:rsidRPr="00D15DD8">
        <w:rPr>
          <w:rFonts w:ascii="Times New Roman" w:eastAsia="Times New Roman" w:hAnsi="Times New Roman" w:cs="Times New Roman"/>
          <w:color w:val="000000"/>
          <w:sz w:val="24"/>
          <w:szCs w:val="24"/>
        </w:rPr>
        <w:t xml:space="preserve">.  </w:t>
      </w:r>
      <w:r w:rsidR="00BC0085">
        <w:rPr>
          <w:rFonts w:ascii="Times New Roman" w:eastAsia="Times New Roman" w:hAnsi="Times New Roman" w:cs="Times New Roman"/>
          <w:color w:val="000000"/>
          <w:sz w:val="24"/>
          <w:szCs w:val="24"/>
        </w:rPr>
        <w:t xml:space="preserve">IBM SPSS </w:t>
      </w:r>
      <w:r w:rsidR="00F76D61">
        <w:rPr>
          <w:rFonts w:ascii="Times New Roman" w:eastAsia="Times New Roman" w:hAnsi="Times New Roman" w:cs="Times New Roman"/>
          <w:color w:val="000000"/>
          <w:sz w:val="24"/>
          <w:szCs w:val="24"/>
        </w:rPr>
        <w:t xml:space="preserve">was used for producing Kaplan-Meier curves </w:t>
      </w:r>
      <w:r w:rsidR="00BC0085">
        <w:rPr>
          <w:rFonts w:ascii="Times New Roman" w:eastAsia="Times New Roman" w:hAnsi="Times New Roman" w:cs="Times New Roman"/>
          <w:color w:val="000000"/>
          <w:sz w:val="24"/>
          <w:szCs w:val="24"/>
        </w:rPr>
        <w:t>as secondary analysis was performed with R-Studio</w:t>
      </w:r>
      <w:r w:rsidR="00F76D61">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 xml:space="preserve">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w:t>
      </w:r>
      <w:r w:rsidR="006440BD">
        <w:rPr>
          <w:rFonts w:ascii="Times New Roman" w:eastAsia="Times New Roman" w:hAnsi="Times New Roman" w:cs="Times New Roman"/>
          <w:color w:val="000000"/>
          <w:sz w:val="24"/>
          <w:szCs w:val="24"/>
        </w:rPr>
        <w:t xml:space="preserve">a </w:t>
      </w:r>
      <w:r w:rsidR="009033B2">
        <w:rPr>
          <w:rFonts w:ascii="Times New Roman" w:eastAsia="Times New Roman" w:hAnsi="Times New Roman" w:cs="Times New Roman"/>
          <w:color w:val="000000"/>
          <w:sz w:val="24"/>
          <w:szCs w:val="24"/>
        </w:rPr>
        <w:t xml:space="preserve">log-rank test </w:t>
      </w:r>
      <w:r w:rsidR="006440BD">
        <w:rPr>
          <w:rFonts w:ascii="Times New Roman" w:eastAsia="Times New Roman" w:hAnsi="Times New Roman" w:cs="Times New Roman"/>
          <w:color w:val="000000"/>
          <w:sz w:val="24"/>
          <w:szCs w:val="24"/>
        </w:rPr>
        <w:t>and</w:t>
      </w:r>
      <w:r w:rsidR="009033B2">
        <w:rPr>
          <w:rFonts w:ascii="Times New Roman" w:eastAsia="Times New Roman" w:hAnsi="Times New Roman" w:cs="Times New Roman"/>
          <w:color w:val="000000"/>
          <w:sz w:val="24"/>
          <w:szCs w:val="24"/>
        </w:rPr>
        <w:t xml:space="preserve"> Cox proportional hazard model </w:t>
      </w:r>
      <w:r w:rsidR="006D7BF7">
        <w:rPr>
          <w:rFonts w:ascii="Times New Roman" w:eastAsia="Times New Roman" w:hAnsi="Times New Roman" w:cs="Times New Roman"/>
          <w:color w:val="000000"/>
          <w:sz w:val="24"/>
          <w:szCs w:val="24"/>
        </w:rPr>
        <w:t>finding</w:t>
      </w:r>
      <w:r w:rsidR="000C0C84">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Pr="0025013A" w:rsidRDefault="00A83960" w:rsidP="0025013A">
      <w:pPr>
        <w:spacing w:line="480" w:lineRule="auto"/>
        <w:rPr>
          <w:rFonts w:ascii="Times New Roman" w:hAnsi="Times New Roman" w:cs="Times New Roman"/>
          <w:b/>
          <w:bCs/>
          <w:sz w:val="24"/>
          <w:szCs w:val="24"/>
        </w:rPr>
        <w:sectPr w:rsidR="00A83960" w:rsidRPr="0025013A" w:rsidSect="00A83960">
          <w:headerReference w:type="default" r:id="rId13"/>
          <w:footerReference w:type="default" r:id="rId14"/>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37093F79"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w:t>
      </w:r>
      <w:r w:rsidR="008D3BFE">
        <w:rPr>
          <w:rFonts w:ascii="Times New Roman" w:eastAsia="Times New Roman" w:hAnsi="Times New Roman" w:cs="Times New Roman"/>
          <w:color w:val="000000"/>
          <w:sz w:val="24"/>
          <w:szCs w:val="24"/>
        </w:rPr>
        <w:t>Liu</w:t>
      </w:r>
      <w:r w:rsidR="00041F48" w:rsidRPr="00041F48">
        <w:rPr>
          <w:rFonts w:ascii="Times New Roman" w:eastAsia="Times New Roman" w:hAnsi="Times New Roman" w:cs="Times New Roman"/>
          <w:color w:val="000000"/>
          <w:sz w:val="24"/>
          <w:szCs w:val="24"/>
        </w:rPr>
        <w:t xml:space="preserve"> et al., 201</w:t>
      </w:r>
      <w:r w:rsidR="008D3BFE">
        <w:rPr>
          <w:rFonts w:ascii="Times New Roman" w:eastAsia="Times New Roman" w:hAnsi="Times New Roman" w:cs="Times New Roman"/>
          <w:color w:val="000000"/>
          <w:sz w:val="24"/>
          <w:szCs w:val="24"/>
        </w:rPr>
        <w:t>8</w:t>
      </w:r>
      <w:r w:rsidR="00CF3188">
        <w:rPr>
          <w:rFonts w:ascii="Times New Roman" w:eastAsia="Times New Roman" w:hAnsi="Times New Roman" w:cs="Times New Roman"/>
          <w:color w:val="000000"/>
          <w:sz w:val="24"/>
          <w:szCs w:val="24"/>
        </w:rPr>
        <w:t xml:space="preserve">; </w:t>
      </w:r>
      <w:r w:rsidR="00CF3188" w:rsidRPr="00D15DD8">
        <w:rPr>
          <w:rFonts w:ascii="Times New Roman" w:eastAsia="Times New Roman" w:hAnsi="Times New Roman" w:cs="Times New Roman"/>
          <w:i/>
          <w:iCs/>
          <w:color w:val="000000"/>
          <w:sz w:val="24"/>
          <w:szCs w:val="24"/>
        </w:rPr>
        <w:t>The Cancer Genome Atlas Program</w:t>
      </w:r>
      <w:r w:rsidR="00CF3188" w:rsidRPr="00D15DD8">
        <w:rPr>
          <w:rFonts w:ascii="Times New Roman" w:eastAsia="Times New Roman" w:hAnsi="Times New Roman" w:cs="Times New Roman"/>
          <w:color w:val="000000"/>
          <w:sz w:val="24"/>
          <w:szCs w:val="24"/>
        </w:rPr>
        <w:t>, 2019</w:t>
      </w:r>
      <w:r w:rsidR="00041F48" w:rsidRPr="00041F48">
        <w:rPr>
          <w:rFonts w:ascii="Times New Roman" w:eastAsia="Times New Roman" w:hAnsi="Times New Roman" w:cs="Times New Roman"/>
          <w:color w:val="000000"/>
          <w:sz w:val="24"/>
          <w:szCs w:val="24"/>
        </w:rPr>
        <w:t>)</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127B6D7D"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FC4443">
        <w:rPr>
          <w:rFonts w:ascii="Times New Roman" w:hAnsi="Times New Roman" w:cs="Times New Roman"/>
          <w:sz w:val="24"/>
          <w:szCs w:val="24"/>
        </w:rPr>
        <w:t>, as collagen is a primary component in neoplasm fibrosis</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B164CB">
        <w:rPr>
          <w:rFonts w:ascii="Times New Roman" w:hAnsi="Times New Roman" w:cs="Times New Roman"/>
          <w:sz w:val="24"/>
          <w:szCs w:val="24"/>
        </w:rPr>
        <w:t xml:space="preserve">Collagen can also affect neoplasm behavior through tyrosine kinase receptors, integrins, </w:t>
      </w:r>
      <w:r w:rsidR="0077281C">
        <w:rPr>
          <w:rFonts w:ascii="Times New Roman" w:hAnsi="Times New Roman" w:cs="Times New Roman"/>
          <w:sz w:val="24"/>
          <w:szCs w:val="24"/>
        </w:rPr>
        <w:t>and</w:t>
      </w:r>
      <w:r w:rsidR="00B164CB">
        <w:rPr>
          <w:rFonts w:ascii="Times New Roman" w:hAnsi="Times New Roman" w:cs="Times New Roman"/>
          <w:sz w:val="24"/>
          <w:szCs w:val="24"/>
        </w:rPr>
        <w:t xml:space="preserve"> various signaling pathways.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w:t>
      </w:r>
      <w:r w:rsidR="00B164CB">
        <w:rPr>
          <w:rFonts w:ascii="Times New Roman" w:hAnsi="Times New Roman" w:cs="Times New Roman"/>
          <w:sz w:val="24"/>
          <w:szCs w:val="24"/>
        </w:rPr>
        <w:t>as to these</w:t>
      </w:r>
      <w:r w:rsidRPr="00D15DD8">
        <w:rPr>
          <w:rFonts w:ascii="Times New Roman" w:hAnsi="Times New Roman" w:cs="Times New Roman"/>
          <w:sz w:val="24"/>
          <w:szCs w:val="24"/>
        </w:rPr>
        <w:t xml:space="preserve"> various mechanisms </w:t>
      </w:r>
      <w:r w:rsidR="00EA5062" w:rsidRPr="00D15DD8">
        <w:rPr>
          <w:rFonts w:ascii="Times New Roman" w:hAnsi="Times New Roman" w:cs="Times New Roman"/>
          <w:sz w:val="24"/>
          <w:szCs w:val="24"/>
        </w:rPr>
        <w:t>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5F5A9B65"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3C6EF0">
        <w:rPr>
          <w:rFonts w:ascii="Times New Roman" w:eastAsia="Times New Roman" w:hAnsi="Times New Roman" w:cs="Times New Roman"/>
          <w:color w:val="000000"/>
          <w:sz w:val="24"/>
          <w:szCs w:val="24"/>
        </w:rPr>
        <w:t xml:space="preserve">protein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 xml:space="preserve">that forms a barrier around </w:t>
      </w:r>
      <w:r w:rsidR="008905F2">
        <w:rPr>
          <w:rFonts w:ascii="Times New Roman" w:eastAsia="Times New Roman" w:hAnsi="Times New Roman" w:cs="Times New Roman"/>
          <w:color w:val="000000"/>
          <w:sz w:val="24"/>
          <w:szCs w:val="24"/>
        </w:rPr>
        <w:t xml:space="preserve">and in support of </w:t>
      </w:r>
      <w:r>
        <w:rPr>
          <w:rFonts w:ascii="Times New Roman" w:eastAsia="Times New Roman" w:hAnsi="Times New Roman" w:cs="Times New Roman"/>
          <w:color w:val="000000"/>
          <w:sz w:val="24"/>
          <w:szCs w:val="24"/>
        </w:rPr>
        <w:t>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9C09DE">
        <w:rPr>
          <w:rFonts w:ascii="Times New Roman" w:eastAsia="Times New Roman" w:hAnsi="Times New Roman" w:cs="Times New Roman"/>
          <w:color w:val="000000"/>
          <w:sz w:val="24"/>
          <w:szCs w:val="24"/>
        </w:rPr>
        <w:t>It</w:t>
      </w:r>
      <w:r w:rsidR="00A22681">
        <w:rPr>
          <w:rFonts w:ascii="Times New Roman" w:eastAsia="Times New Roman" w:hAnsi="Times New Roman" w:cs="Times New Roman"/>
          <w:color w:val="000000"/>
          <w:sz w:val="24"/>
          <w:szCs w:val="24"/>
        </w:rPr>
        <w:t xml:space="preserve"> is the most abundant type of ECM </w:t>
      </w:r>
      <w:r w:rsidR="003C6EF0">
        <w:rPr>
          <w:rFonts w:ascii="Times New Roman" w:eastAsia="Times New Roman" w:hAnsi="Times New Roman" w:cs="Times New Roman"/>
          <w:color w:val="000000"/>
          <w:sz w:val="24"/>
          <w:szCs w:val="24"/>
        </w:rPr>
        <w:t xml:space="preserve">protein </w:t>
      </w:r>
      <w:r w:rsidR="00A22681">
        <w:rPr>
          <w:rFonts w:ascii="Times New Roman" w:eastAsia="Times New Roman" w:hAnsi="Times New Roman" w:cs="Times New Roman"/>
          <w:color w:val="000000"/>
          <w:sz w:val="24"/>
          <w:szCs w:val="24"/>
        </w:rPr>
        <w:t>located in ovari</w:t>
      </w:r>
      <w:r w:rsidR="003C6EF0">
        <w:rPr>
          <w:rFonts w:ascii="Times New Roman" w:eastAsia="Times New Roman" w:hAnsi="Times New Roman" w:cs="Times New Roman"/>
          <w:color w:val="000000"/>
          <w:sz w:val="24"/>
          <w:szCs w:val="24"/>
        </w:rPr>
        <w:t>an tissue</w:t>
      </w:r>
      <w:r w:rsidR="00A22681">
        <w:rPr>
          <w:rFonts w:ascii="Times New Roman" w:eastAsia="Times New Roman" w:hAnsi="Times New Roman" w:cs="Times New Roman"/>
          <w:color w:val="000000"/>
          <w:sz w:val="24"/>
          <w:szCs w:val="24"/>
        </w:rPr>
        <w:t xml:space="preserve">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w:t>
      </w:r>
      <w:r w:rsidR="003C6EF0">
        <w:rPr>
          <w:rFonts w:ascii="Times New Roman" w:eastAsia="Times New Roman" w:hAnsi="Times New Roman" w:cs="Times New Roman"/>
          <w:color w:val="000000"/>
          <w:sz w:val="24"/>
          <w:szCs w:val="24"/>
        </w:rPr>
        <w:t xml:space="preserve"> enzymes and </w:t>
      </w:r>
      <w:r w:rsidR="00474930">
        <w:rPr>
          <w:rFonts w:ascii="Times New Roman" w:eastAsia="Times New Roman" w:hAnsi="Times New Roman" w:cs="Times New Roman"/>
          <w:color w:val="000000"/>
          <w:sz w:val="24"/>
          <w:szCs w:val="24"/>
        </w:rPr>
        <w:t>growth factor</w:t>
      </w:r>
      <w:r w:rsidR="003C6EF0">
        <w:rPr>
          <w:rFonts w:ascii="Times New Roman" w:eastAsia="Times New Roman" w:hAnsi="Times New Roman" w:cs="Times New Roman"/>
          <w:color w:val="000000"/>
          <w:sz w:val="24"/>
          <w:szCs w:val="24"/>
        </w:rPr>
        <w:t>s</w:t>
      </w:r>
      <w:r w:rsidR="00474930">
        <w:rPr>
          <w:rFonts w:ascii="Times New Roman" w:eastAsia="Times New Roman" w:hAnsi="Times New Roman" w:cs="Times New Roman"/>
          <w:color w:val="000000"/>
          <w:sz w:val="24"/>
          <w:szCs w:val="24"/>
        </w:rPr>
        <w:t xml:space="preserve">.  Collagen is an essential </w:t>
      </w:r>
      <w:r w:rsidR="003C6EF0">
        <w:rPr>
          <w:rFonts w:ascii="Times New Roman" w:eastAsia="Times New Roman" w:hAnsi="Times New Roman" w:cs="Times New Roman"/>
          <w:color w:val="000000"/>
          <w:sz w:val="24"/>
          <w:szCs w:val="24"/>
        </w:rPr>
        <w:t>of maintaining tissue</w:t>
      </w:r>
      <w:r w:rsidR="00474930">
        <w:rPr>
          <w:rFonts w:ascii="Times New Roman" w:eastAsia="Times New Roman" w:hAnsi="Times New Roman" w:cs="Times New Roman"/>
          <w:color w:val="000000"/>
          <w:sz w:val="24"/>
          <w:szCs w:val="24"/>
        </w:rPr>
        <w:t xml:space="preserve"> homeostasis and ECM remodeling</w:t>
      </w:r>
      <w:r w:rsidR="00DC1FB3">
        <w:rPr>
          <w:rFonts w:ascii="Times New Roman" w:eastAsia="Times New Roman" w:hAnsi="Times New Roman" w:cs="Times New Roman"/>
          <w:color w:val="000000"/>
          <w:sz w:val="24"/>
          <w:szCs w:val="24"/>
        </w:rPr>
        <w:t xml:space="preserve">, such as ECM stiffness and elasticity, </w:t>
      </w:r>
      <w:r w:rsidR="003C6EF0">
        <w:rPr>
          <w:rFonts w:ascii="Times New Roman" w:eastAsia="Times New Roman" w:hAnsi="Times New Roman" w:cs="Times New Roman"/>
          <w:color w:val="000000"/>
          <w:sz w:val="24"/>
          <w:szCs w:val="24"/>
        </w:rPr>
        <w:t xml:space="preserve">which </w:t>
      </w:r>
      <w:r w:rsidR="00DC1FB3">
        <w:rPr>
          <w:rFonts w:ascii="Times New Roman" w:eastAsia="Times New Roman" w:hAnsi="Times New Roman" w:cs="Times New Roman"/>
          <w:color w:val="000000"/>
          <w:sz w:val="24"/>
          <w:szCs w:val="24"/>
        </w:rPr>
        <w:t>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459A9007" w14:textId="3C701EA0" w:rsidR="009922DB" w:rsidRDefault="00CD3F7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ECM organization and cell morphology is essential in understanding and gaining insight into the mechanisms of malignancy (Cho et al., 2015).  </w:t>
      </w:r>
      <w:r w:rsidR="00E528C2">
        <w:rPr>
          <w:rFonts w:ascii="Times New Roman" w:eastAsia="Times New Roman" w:hAnsi="Times New Roman" w:cs="Times New Roman"/>
          <w:color w:val="000000"/>
          <w:sz w:val="24"/>
          <w:szCs w:val="24"/>
        </w:rPr>
        <w:t xml:space="preserve">Collagen </w:t>
      </w:r>
      <w:r w:rsidR="009922DB">
        <w:rPr>
          <w:rFonts w:ascii="Times New Roman" w:eastAsia="Times New Roman" w:hAnsi="Times New Roman" w:cs="Times New Roman"/>
          <w:color w:val="000000"/>
          <w:sz w:val="24"/>
          <w:szCs w:val="24"/>
        </w:rPr>
        <w:t>is</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w:t>
      </w:r>
      <w:r w:rsidR="009922DB">
        <w:rPr>
          <w:rFonts w:ascii="Times New Roman" w:eastAsia="Times New Roman" w:hAnsi="Times New Roman" w:cs="Times New Roman"/>
          <w:color w:val="000000"/>
          <w:sz w:val="24"/>
          <w:szCs w:val="24"/>
        </w:rPr>
        <w:t>including</w:t>
      </w:r>
      <w:r w:rsidR="00424013">
        <w:rPr>
          <w:rFonts w:ascii="Times New Roman" w:eastAsia="Times New Roman" w:hAnsi="Times New Roman" w:cs="Times New Roman"/>
          <w:color w:val="000000"/>
          <w:sz w:val="24"/>
          <w:szCs w:val="24"/>
        </w:rPr>
        <w:t xml:space="preserve"> cell</w:t>
      </w:r>
      <w:r w:rsidR="009922DB">
        <w:rPr>
          <w:rFonts w:ascii="Times New Roman" w:eastAsia="Times New Roman" w:hAnsi="Times New Roman" w:cs="Times New Roman"/>
          <w:color w:val="000000"/>
          <w:sz w:val="24"/>
          <w:szCs w:val="24"/>
        </w:rPr>
        <w:t>ular</w:t>
      </w:r>
      <w:r w:rsidR="00424013">
        <w:rPr>
          <w:rFonts w:ascii="Times New Roman" w:eastAsia="Times New Roman" w:hAnsi="Times New Roman" w:cs="Times New Roman"/>
          <w:color w:val="000000"/>
          <w:sz w:val="24"/>
          <w:szCs w:val="24"/>
        </w:rPr>
        <w:t xml:space="preserve"> </w:t>
      </w:r>
      <w:r w:rsidR="00424013">
        <w:rPr>
          <w:rFonts w:ascii="Times New Roman" w:eastAsia="Times New Roman" w:hAnsi="Times New Roman" w:cs="Times New Roman"/>
          <w:color w:val="000000"/>
          <w:sz w:val="24"/>
          <w:szCs w:val="24"/>
        </w:rPr>
        <w:lastRenderedPageBreak/>
        <w:t xml:space="preserve">communication and shape (Woodruff &amp; Shea, 2007).  </w:t>
      </w:r>
      <w:r w:rsidR="008A5AB3">
        <w:rPr>
          <w:rFonts w:ascii="Times New Roman" w:eastAsia="Times New Roman" w:hAnsi="Times New Roman" w:cs="Times New Roman"/>
          <w:color w:val="000000"/>
          <w:sz w:val="24"/>
          <w:szCs w:val="24"/>
        </w:rPr>
        <w:t xml:space="preserve">For example, </w:t>
      </w:r>
      <w:r w:rsidR="009922DB">
        <w:rPr>
          <w:rFonts w:ascii="Times New Roman" w:eastAsia="Times New Roman" w:hAnsi="Times New Roman" w:cs="Times New Roman"/>
          <w:color w:val="000000"/>
          <w:sz w:val="24"/>
          <w:szCs w:val="24"/>
        </w:rPr>
        <w:t>during</w:t>
      </w:r>
      <w:r w:rsidR="008A5AB3">
        <w:rPr>
          <w:rFonts w:ascii="Times New Roman" w:eastAsia="Times New Roman" w:hAnsi="Times New Roman" w:cs="Times New Roman"/>
          <w:color w:val="000000"/>
          <w:sz w:val="24"/>
          <w:szCs w:val="24"/>
        </w:rPr>
        <w:t xml:space="preserve"> tumorigenesis, collagen is remodeled into thick fibrils (Cho et al., 2015).  This </w:t>
      </w:r>
      <w:r w:rsidR="009922DB">
        <w:rPr>
          <w:rFonts w:ascii="Times New Roman" w:eastAsia="Times New Roman" w:hAnsi="Times New Roman" w:cs="Times New Roman"/>
          <w:color w:val="000000"/>
          <w:sz w:val="24"/>
          <w:szCs w:val="24"/>
        </w:rPr>
        <w:t>fibrillar structure</w:t>
      </w:r>
      <w:r w:rsidR="008A5AB3">
        <w:rPr>
          <w:rFonts w:ascii="Times New Roman" w:eastAsia="Times New Roman" w:hAnsi="Times New Roman" w:cs="Times New Roman"/>
          <w:color w:val="000000"/>
          <w:sz w:val="24"/>
          <w:szCs w:val="24"/>
        </w:rPr>
        <w:t xml:space="preserve"> is </w:t>
      </w:r>
      <w:r w:rsidR="0033407A">
        <w:rPr>
          <w:rFonts w:ascii="Times New Roman" w:eastAsia="Times New Roman" w:hAnsi="Times New Roman" w:cs="Times New Roman"/>
          <w:color w:val="000000"/>
          <w:sz w:val="24"/>
          <w:szCs w:val="24"/>
        </w:rPr>
        <w:t xml:space="preserve">partially </w:t>
      </w:r>
      <w:r w:rsidR="008A5AB3">
        <w:rPr>
          <w:rFonts w:ascii="Times New Roman" w:eastAsia="Times New Roman" w:hAnsi="Times New Roman" w:cs="Times New Roman"/>
          <w:color w:val="000000"/>
          <w:sz w:val="24"/>
          <w:szCs w:val="24"/>
        </w:rPr>
        <w:t>regulated by the COL12A1 gene, which is the collagen type XII alpha 1 chain in homo sapiens (NCBI – COL12A1, 2020).</w:t>
      </w:r>
    </w:p>
    <w:p w14:paraId="2BEEADCC" w14:textId="4CCA2B0B" w:rsidR="008A5AB3" w:rsidRDefault="009922DB"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w:t>
      </w:r>
      <w:r w:rsidR="00514F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t>
      </w:r>
      <w:r w:rsidR="00514F77">
        <w:rPr>
          <w:rFonts w:ascii="Times New Roman" w:eastAsia="Times New Roman" w:hAnsi="Times New Roman" w:cs="Times New Roman"/>
          <w:color w:val="000000"/>
          <w:sz w:val="24"/>
          <w:szCs w:val="24"/>
        </w:rPr>
        <w:t>also focuse</w:t>
      </w:r>
      <w:r>
        <w:rPr>
          <w:rFonts w:ascii="Times New Roman" w:eastAsia="Times New Roman" w:hAnsi="Times New Roman" w:cs="Times New Roman"/>
          <w:color w:val="000000"/>
          <w:sz w:val="24"/>
          <w:szCs w:val="24"/>
        </w:rPr>
        <w:t>d</w:t>
      </w:r>
      <w:r w:rsidR="00514F77">
        <w:rPr>
          <w:rFonts w:ascii="Times New Roman" w:eastAsia="Times New Roman" w:hAnsi="Times New Roman" w:cs="Times New Roman"/>
          <w:color w:val="000000"/>
          <w:sz w:val="24"/>
          <w:szCs w:val="24"/>
        </w:rPr>
        <w:t xml:space="preserve"> on drug resistance </w:t>
      </w:r>
      <w:r w:rsidR="0056749D">
        <w:rPr>
          <w:rFonts w:ascii="Times New Roman" w:eastAsia="Times New Roman" w:hAnsi="Times New Roman" w:cs="Times New Roman"/>
          <w:color w:val="000000"/>
          <w:sz w:val="24"/>
          <w:szCs w:val="24"/>
        </w:rPr>
        <w:t xml:space="preserve">mechanisms which </w:t>
      </w:r>
      <w:r>
        <w:rPr>
          <w:rFonts w:ascii="Times New Roman" w:eastAsia="Times New Roman" w:hAnsi="Times New Roman" w:cs="Times New Roman"/>
          <w:color w:val="000000"/>
          <w:sz w:val="24"/>
          <w:szCs w:val="24"/>
        </w:rPr>
        <w:t>have been linked</w:t>
      </w:r>
      <w:r w:rsidR="00514F77">
        <w:rPr>
          <w:rFonts w:ascii="Times New Roman" w:eastAsia="Times New Roman" w:hAnsi="Times New Roman" w:cs="Times New Roman"/>
          <w:color w:val="000000"/>
          <w:sz w:val="24"/>
          <w:szCs w:val="24"/>
        </w:rPr>
        <w:t xml:space="preserve"> to functional abnormalities rather than structural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 xml:space="preserve">he COL4A3BP </w:t>
      </w:r>
      <w:r w:rsidR="005C2EC7">
        <w:rPr>
          <w:rFonts w:ascii="Times New Roman" w:eastAsia="Times New Roman" w:hAnsi="Times New Roman" w:cs="Times New Roman"/>
          <w:color w:val="000000"/>
          <w:sz w:val="24"/>
          <w:szCs w:val="24"/>
        </w:rPr>
        <w:t xml:space="preserve">collagen </w:t>
      </w:r>
      <w:r w:rsidR="007431F9">
        <w:rPr>
          <w:rFonts w:ascii="Times New Roman" w:eastAsia="Times New Roman" w:hAnsi="Times New Roman" w:cs="Times New Roman"/>
          <w:color w:val="000000"/>
          <w:sz w:val="24"/>
          <w:szCs w:val="24"/>
        </w:rPr>
        <w:t>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w:t>
      </w:r>
      <w:r w:rsidR="0040061A">
        <w:rPr>
          <w:rFonts w:ascii="Times New Roman" w:eastAsia="Times New Roman" w:hAnsi="Times New Roman" w:cs="Times New Roman"/>
          <w:color w:val="000000"/>
          <w:sz w:val="24"/>
          <w:szCs w:val="24"/>
        </w:rPr>
        <w:t>codes for</w:t>
      </w:r>
      <w:r w:rsidR="005A4DB6">
        <w:rPr>
          <w:rFonts w:ascii="Times New Roman" w:eastAsia="Times New Roman" w:hAnsi="Times New Roman" w:cs="Times New Roman"/>
          <w:color w:val="000000"/>
          <w:sz w:val="24"/>
          <w:szCs w:val="24"/>
        </w:rPr>
        <w:t xml:space="preserve"> a protein which is a </w:t>
      </w:r>
      <w:r w:rsidR="007431F9">
        <w:rPr>
          <w:rFonts w:ascii="Times New Roman" w:eastAsia="Times New Roman" w:hAnsi="Times New Roman" w:cs="Times New Roman"/>
          <w:color w:val="000000"/>
          <w:sz w:val="24"/>
          <w:szCs w:val="24"/>
        </w:rPr>
        <w:t>regulator of ceramide transport</w:t>
      </w:r>
      <w:r w:rsidR="008D19BC">
        <w:rPr>
          <w:rFonts w:ascii="Times New Roman" w:eastAsia="Times New Roman" w:hAnsi="Times New Roman" w:cs="Times New Roman"/>
          <w:color w:val="000000"/>
          <w:sz w:val="24"/>
          <w:szCs w:val="24"/>
        </w:rPr>
        <w:t xml:space="preserve"> that interacts with ECM proteins</w:t>
      </w:r>
      <w:r w:rsidR="007431F9">
        <w:rPr>
          <w:rFonts w:ascii="Times New Roman" w:eastAsia="Times New Roman" w:hAnsi="Times New Roman" w:cs="Times New Roman"/>
          <w:color w:val="000000"/>
          <w:sz w:val="24"/>
          <w:szCs w:val="24"/>
        </w:rPr>
        <w:t xml:space="preserve"> and has been implicated in multidrug resistance in certain cancer treatments such as colorectal and breast cancer (Lee et al., 2011).</w:t>
      </w:r>
    </w:p>
    <w:p w14:paraId="208681CD" w14:textId="67C6D680" w:rsidR="00FE0A1D" w:rsidRDefault="008A54B7"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number variation (CNV) has been linked to </w:t>
      </w:r>
      <w:r w:rsidR="00241C22">
        <w:rPr>
          <w:rFonts w:ascii="Times New Roman" w:eastAsia="Times New Roman" w:hAnsi="Times New Roman" w:cs="Times New Roman"/>
          <w:color w:val="000000"/>
          <w:sz w:val="24"/>
          <w:szCs w:val="24"/>
        </w:rPr>
        <w:t>complex</w:t>
      </w:r>
      <w:r>
        <w:rPr>
          <w:rFonts w:ascii="Times New Roman" w:eastAsia="Times New Roman" w:hAnsi="Times New Roman" w:cs="Times New Roman"/>
          <w:color w:val="000000"/>
          <w:sz w:val="24"/>
          <w:szCs w:val="24"/>
        </w:rPr>
        <w:t xml:space="preserve"> </w:t>
      </w:r>
      <w:r w:rsidR="00241C22">
        <w:rPr>
          <w:rFonts w:ascii="Times New Roman" w:eastAsia="Times New Roman" w:hAnsi="Times New Roman" w:cs="Times New Roman"/>
          <w:color w:val="000000"/>
          <w:sz w:val="24"/>
          <w:szCs w:val="24"/>
        </w:rPr>
        <w:t xml:space="preserve">and abnormal </w:t>
      </w:r>
      <w:r>
        <w:rPr>
          <w:rFonts w:ascii="Times New Roman" w:eastAsia="Times New Roman" w:hAnsi="Times New Roman" w:cs="Times New Roman"/>
          <w:color w:val="000000"/>
          <w:sz w:val="24"/>
          <w:szCs w:val="24"/>
        </w:rPr>
        <w:t>behaviors in diseases and drug resistance (</w:t>
      </w:r>
      <w:proofErr w:type="spellStart"/>
      <w:r>
        <w:rPr>
          <w:rFonts w:ascii="Times New Roman" w:eastAsia="Times New Roman" w:hAnsi="Times New Roman" w:cs="Times New Roman"/>
          <w:color w:val="000000"/>
          <w:sz w:val="24"/>
          <w:szCs w:val="24"/>
        </w:rPr>
        <w:t>Gamazon</w:t>
      </w:r>
      <w:proofErr w:type="spellEnd"/>
      <w:r>
        <w:rPr>
          <w:rFonts w:ascii="Times New Roman" w:eastAsia="Times New Roman" w:hAnsi="Times New Roman" w:cs="Times New Roman"/>
          <w:color w:val="000000"/>
          <w:sz w:val="24"/>
          <w:szCs w:val="24"/>
        </w:rPr>
        <w:t xml:space="preserve">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724ED3">
        <w:rPr>
          <w:rFonts w:ascii="Times New Roman" w:eastAsia="Times New Roman" w:hAnsi="Times New Roman" w:cs="Times New Roman"/>
          <w:color w:val="000000"/>
          <w:sz w:val="24"/>
          <w:szCs w:val="24"/>
        </w:rPr>
        <w:t xml:space="preserve">  CNVs are important as it provides raw genetic material for gene divergence and expansion which has contributed to the evolution of humans (Perry, 2008).  </w:t>
      </w:r>
      <w:r w:rsidR="004C0F0D">
        <w:rPr>
          <w:rFonts w:ascii="Times New Roman" w:eastAsia="Times New Roman" w:hAnsi="Times New Roman" w:cs="Times New Roman"/>
          <w:color w:val="000000"/>
          <w:sz w:val="24"/>
          <w:szCs w:val="24"/>
        </w:rPr>
        <w:t>Copy number variation is important to human survival in that it increases genetic and phenotypic diversity of the species, but also linked to cancer (Li et al., 2017).</w:t>
      </w:r>
      <w:r w:rsidR="006857D3">
        <w:rPr>
          <w:rFonts w:ascii="Times New Roman" w:eastAsia="Times New Roman" w:hAnsi="Times New Roman" w:cs="Times New Roman"/>
          <w:color w:val="000000"/>
          <w:sz w:val="24"/>
          <w:szCs w:val="24"/>
        </w:rPr>
        <w:t xml:space="preserve">  </w:t>
      </w:r>
      <w:r w:rsidR="00CC7C37">
        <w:rPr>
          <w:rFonts w:ascii="Times New Roman" w:eastAsia="Times New Roman" w:hAnsi="Times New Roman" w:cs="Times New Roman"/>
          <w:color w:val="000000"/>
          <w:sz w:val="24"/>
          <w:szCs w:val="24"/>
        </w:rPr>
        <w:t xml:space="preserve">This </w:t>
      </w:r>
      <w:r w:rsidR="000B5366">
        <w:rPr>
          <w:rFonts w:ascii="Times New Roman" w:eastAsia="Times New Roman" w:hAnsi="Times New Roman" w:cs="Times New Roman"/>
          <w:color w:val="000000"/>
          <w:sz w:val="24"/>
          <w:szCs w:val="24"/>
        </w:rPr>
        <w:t xml:space="preserve">link to cancer </w:t>
      </w:r>
      <w:r w:rsidR="00CC7C37">
        <w:rPr>
          <w:rFonts w:ascii="Times New Roman" w:eastAsia="Times New Roman" w:hAnsi="Times New Roman" w:cs="Times New Roman"/>
          <w:color w:val="000000"/>
          <w:sz w:val="24"/>
          <w:szCs w:val="24"/>
        </w:rPr>
        <w:t>is important as it has been estimated that 4.8% to 9.7% of the human genome is comprised of CNVs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w:t>
      </w:r>
      <w:r w:rsidR="00CC7C37">
        <w:rPr>
          <w:rFonts w:ascii="Times New Roman" w:eastAsia="Times New Roman" w:hAnsi="Times New Roman" w:cs="Times New Roman"/>
          <w:color w:val="000000"/>
          <w:sz w:val="24"/>
          <w:szCs w:val="24"/>
        </w:rPr>
        <w:t xml:space="preserve">).  </w:t>
      </w:r>
      <w:r w:rsidR="00241C22">
        <w:rPr>
          <w:rFonts w:ascii="Times New Roman" w:eastAsia="Times New Roman" w:hAnsi="Times New Roman" w:cs="Times New Roman"/>
          <w:color w:val="000000"/>
          <w:sz w:val="24"/>
          <w:szCs w:val="24"/>
        </w:rPr>
        <w:t>While</w:t>
      </w:r>
      <w:r w:rsidR="00FA372C">
        <w:rPr>
          <w:rFonts w:ascii="Times New Roman" w:eastAsia="Times New Roman" w:hAnsi="Times New Roman" w:cs="Times New Roman"/>
          <w:color w:val="000000"/>
          <w:sz w:val="24"/>
          <w:szCs w:val="24"/>
        </w:rPr>
        <w:t xml:space="preserve"> CNV contributes such a large portion to the human genetic profile, it has been shown that roughly 100 genes can be removed from the genome in a human without phenotypical consequences</w:t>
      </w:r>
      <w:r w:rsidR="00EB4FB8">
        <w:rPr>
          <w:rFonts w:ascii="Times New Roman" w:eastAsia="Times New Roman" w:hAnsi="Times New Roman" w:cs="Times New Roman"/>
          <w:color w:val="000000"/>
          <w:sz w:val="24"/>
          <w:szCs w:val="24"/>
        </w:rPr>
        <w:t>, thus making CNVs difficult to identify in importance</w:t>
      </w:r>
      <w:r w:rsidR="00FA372C">
        <w:rPr>
          <w:rFonts w:ascii="Times New Roman" w:eastAsia="Times New Roman" w:hAnsi="Times New Roman" w:cs="Times New Roman"/>
          <w:color w:val="000000"/>
          <w:sz w:val="24"/>
          <w:szCs w:val="24"/>
        </w:rPr>
        <w:t xml:space="preserve">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  </w:t>
      </w:r>
      <w:r w:rsidR="00913B6A">
        <w:rPr>
          <w:rFonts w:ascii="Times New Roman" w:eastAsia="Times New Roman" w:hAnsi="Times New Roman" w:cs="Times New Roman"/>
          <w:color w:val="000000"/>
          <w:sz w:val="24"/>
          <w:szCs w:val="24"/>
        </w:rPr>
        <w:t xml:space="preserve">However, </w:t>
      </w:r>
      <w:r w:rsidR="0029699B">
        <w:rPr>
          <w:rFonts w:ascii="Times New Roman" w:eastAsia="Times New Roman" w:hAnsi="Times New Roman" w:cs="Times New Roman"/>
          <w:color w:val="000000"/>
          <w:sz w:val="24"/>
          <w:szCs w:val="24"/>
        </w:rPr>
        <w:t xml:space="preserve">structural variations </w:t>
      </w:r>
      <w:r w:rsidR="00913B6A">
        <w:rPr>
          <w:rFonts w:ascii="Times New Roman" w:eastAsia="Times New Roman" w:hAnsi="Times New Roman" w:cs="Times New Roman"/>
          <w:color w:val="000000"/>
          <w:sz w:val="24"/>
          <w:szCs w:val="24"/>
        </w:rPr>
        <w:t>e</w:t>
      </w:r>
      <w:r w:rsidR="0029699B">
        <w:rPr>
          <w:rFonts w:ascii="Times New Roman" w:eastAsia="Times New Roman" w:hAnsi="Times New Roman" w:cs="Times New Roman"/>
          <w:color w:val="000000"/>
          <w:sz w:val="24"/>
          <w:szCs w:val="24"/>
        </w:rPr>
        <w:t xml:space="preserve">ffect base pairs with a duplication or deletion and have been identified as a facilitator for genomic disease states (Sharp et al., 2005).  </w:t>
      </w:r>
      <w:r w:rsidR="00913B6A">
        <w:rPr>
          <w:rFonts w:ascii="Times New Roman" w:eastAsia="Times New Roman" w:hAnsi="Times New Roman" w:cs="Times New Roman"/>
          <w:color w:val="000000"/>
          <w:sz w:val="24"/>
          <w:szCs w:val="24"/>
        </w:rPr>
        <w:t xml:space="preserve">CNV has also been found to effect gene </w:t>
      </w:r>
      <w:r w:rsidR="00913B6A">
        <w:rPr>
          <w:rFonts w:ascii="Times New Roman" w:eastAsia="Times New Roman" w:hAnsi="Times New Roman" w:cs="Times New Roman"/>
          <w:color w:val="000000"/>
          <w:sz w:val="24"/>
          <w:szCs w:val="24"/>
        </w:rPr>
        <w:lastRenderedPageBreak/>
        <w:t>expression and a map of expression variation along with CNV information could help is understand certain disease states better (</w:t>
      </w:r>
      <w:proofErr w:type="spellStart"/>
      <w:r w:rsidR="00913B6A">
        <w:rPr>
          <w:rFonts w:ascii="Times New Roman" w:eastAsia="Times New Roman" w:hAnsi="Times New Roman" w:cs="Times New Roman"/>
          <w:color w:val="000000"/>
          <w:sz w:val="24"/>
          <w:szCs w:val="24"/>
        </w:rPr>
        <w:t>Gamazon</w:t>
      </w:r>
      <w:proofErr w:type="spellEnd"/>
      <w:r w:rsidR="00913B6A">
        <w:rPr>
          <w:rFonts w:ascii="Times New Roman" w:eastAsia="Times New Roman" w:hAnsi="Times New Roman" w:cs="Times New Roman"/>
          <w:color w:val="000000"/>
          <w:sz w:val="24"/>
          <w:szCs w:val="24"/>
        </w:rPr>
        <w:t xml:space="preserve"> &amp; Stranger, 2015).  This is especially true in cancer as some research suggests (Shao et al., 2019).  </w:t>
      </w:r>
      <w:r w:rsidR="0029699B">
        <w:rPr>
          <w:rFonts w:ascii="Times New Roman" w:eastAsia="Times New Roman" w:hAnsi="Times New Roman" w:cs="Times New Roman"/>
          <w:color w:val="000000"/>
          <w:sz w:val="24"/>
          <w:szCs w:val="24"/>
        </w:rPr>
        <w:t>Thus, it is important to understand CNVs and their effects on humans.</w:t>
      </w:r>
    </w:p>
    <w:p w14:paraId="7C823079" w14:textId="271E7D10" w:rsidR="00FE0A1D" w:rsidRDefault="00FE0A1D"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have been issues in the past regarding </w:t>
      </w:r>
      <w:r w:rsidR="00582104">
        <w:rPr>
          <w:rFonts w:ascii="Times New Roman" w:eastAsia="Times New Roman" w:hAnsi="Times New Roman" w:cs="Times New Roman"/>
          <w:color w:val="000000"/>
          <w:sz w:val="24"/>
          <w:szCs w:val="24"/>
        </w:rPr>
        <w:t>CNV studies</w:t>
      </w:r>
      <w:r>
        <w:rPr>
          <w:rFonts w:ascii="Times New Roman" w:eastAsia="Times New Roman" w:hAnsi="Times New Roman" w:cs="Times New Roman"/>
          <w:color w:val="000000"/>
          <w:sz w:val="24"/>
          <w:szCs w:val="24"/>
        </w:rPr>
        <w:t>.  Next Generation sequencing (NGS) has replaced other methods as NGS has increased specificity in identifying CNVs and is also able to assess and identify pseudogene sequences (Kerkhof et al., 2017).</w:t>
      </w:r>
      <w:r w:rsidR="0061747E">
        <w:rPr>
          <w:rFonts w:ascii="Times New Roman" w:eastAsia="Times New Roman" w:hAnsi="Times New Roman" w:cs="Times New Roman"/>
          <w:color w:val="000000"/>
          <w:sz w:val="24"/>
          <w:szCs w:val="24"/>
        </w:rPr>
        <w:t xml:space="preserve">  NGS has had immense effects on genetic research by allowing us to expand our knowledge base </w:t>
      </w:r>
      <w:r w:rsidR="00276E3D">
        <w:rPr>
          <w:rFonts w:ascii="Times New Roman" w:eastAsia="Times New Roman" w:hAnsi="Times New Roman" w:cs="Times New Roman"/>
          <w:color w:val="000000"/>
          <w:sz w:val="24"/>
          <w:szCs w:val="24"/>
        </w:rPr>
        <w:t>and</w:t>
      </w:r>
      <w:r w:rsidR="0061747E">
        <w:rPr>
          <w:rFonts w:ascii="Times New Roman" w:eastAsia="Times New Roman" w:hAnsi="Times New Roman" w:cs="Times New Roman"/>
          <w:color w:val="000000"/>
          <w:sz w:val="24"/>
          <w:szCs w:val="24"/>
        </w:rPr>
        <w:t xml:space="preserve"> illustrat</w:t>
      </w:r>
      <w:r w:rsidR="00276E3D">
        <w:rPr>
          <w:rFonts w:ascii="Times New Roman" w:eastAsia="Times New Roman" w:hAnsi="Times New Roman" w:cs="Times New Roman"/>
          <w:color w:val="000000"/>
          <w:sz w:val="24"/>
          <w:szCs w:val="24"/>
        </w:rPr>
        <w:t>ing</w:t>
      </w:r>
      <w:r w:rsidR="0061747E">
        <w:rPr>
          <w:rFonts w:ascii="Times New Roman" w:eastAsia="Times New Roman" w:hAnsi="Times New Roman" w:cs="Times New Roman"/>
          <w:color w:val="000000"/>
          <w:sz w:val="24"/>
          <w:szCs w:val="24"/>
        </w:rPr>
        <w:t xml:space="preserve"> the importance of CNV effects (Zhao et al., 2020).</w:t>
      </w:r>
      <w:r w:rsidR="00F41BE0">
        <w:rPr>
          <w:rFonts w:ascii="Times New Roman" w:eastAsia="Times New Roman" w:hAnsi="Times New Roman" w:cs="Times New Roman"/>
          <w:color w:val="000000"/>
          <w:sz w:val="24"/>
          <w:szCs w:val="24"/>
        </w:rPr>
        <w:t xml:space="preserve">  Although, other methods are still valid such as Sanger Sequencing.</w:t>
      </w:r>
    </w:p>
    <w:p w14:paraId="1E4850EC" w14:textId="49FB531E" w:rsidR="00037C80" w:rsidRPr="00D15DD8" w:rsidRDefault="00474930"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8760C0">
        <w:rPr>
          <w:rFonts w:ascii="Times New Roman" w:eastAsia="Times New Roman" w:hAnsi="Times New Roman" w:cs="Times New Roman"/>
          <w:color w:val="000000"/>
          <w:sz w:val="24"/>
          <w:szCs w:val="24"/>
        </w:rPr>
        <w:t xml:space="preserve">role of genetic abnormalities in </w:t>
      </w:r>
      <w:r w:rsidR="00B00034">
        <w:rPr>
          <w:rFonts w:ascii="Times New Roman" w:eastAsia="Times New Roman" w:hAnsi="Times New Roman" w:cs="Times New Roman"/>
          <w:color w:val="000000"/>
          <w:sz w:val="24"/>
          <w:szCs w:val="24"/>
        </w:rPr>
        <w:t xml:space="preserve">collagen </w:t>
      </w:r>
      <w:r w:rsidR="008760C0">
        <w:rPr>
          <w:rFonts w:ascii="Times New Roman" w:eastAsia="Times New Roman" w:hAnsi="Times New Roman" w:cs="Times New Roman"/>
          <w:color w:val="000000"/>
          <w:sz w:val="24"/>
          <w:szCs w:val="24"/>
        </w:rPr>
        <w:t>coding genes</w:t>
      </w:r>
      <w:r w:rsidR="0041310E">
        <w:rPr>
          <w:rFonts w:ascii="Times New Roman" w:eastAsia="Times New Roman" w:hAnsi="Times New Roman" w:cs="Times New Roman"/>
          <w:color w:val="000000"/>
          <w:sz w:val="24"/>
          <w:szCs w:val="24"/>
        </w:rPr>
        <w:t xml:space="preserve"> </w:t>
      </w:r>
      <w:r w:rsidR="008760C0">
        <w:rPr>
          <w:rFonts w:ascii="Times New Roman" w:eastAsia="Times New Roman" w:hAnsi="Times New Roman" w:cs="Times New Roman"/>
          <w:color w:val="000000"/>
          <w:sz w:val="24"/>
          <w:szCs w:val="24"/>
        </w:rPr>
        <w:t>that may play a role in</w:t>
      </w:r>
      <w:r w:rsidR="0041310E">
        <w:rPr>
          <w:rFonts w:ascii="Times New Roman" w:eastAsia="Times New Roman" w:hAnsi="Times New Roman" w:cs="Times New Roman"/>
          <w:color w:val="000000"/>
          <w:sz w:val="24"/>
          <w:szCs w:val="24"/>
        </w:rPr>
        <w:t xml:space="preserve"> </w:t>
      </w:r>
      <w:r w:rsidR="00331892">
        <w:rPr>
          <w:rFonts w:ascii="Times New Roman" w:eastAsia="Times New Roman" w:hAnsi="Times New Roman" w:cs="Times New Roman"/>
          <w:color w:val="000000"/>
          <w:sz w:val="24"/>
          <w:szCs w:val="24"/>
        </w:rPr>
        <w:t>ECM</w:t>
      </w:r>
      <w:r w:rsidR="0041310E">
        <w:rPr>
          <w:rFonts w:ascii="Times New Roman" w:eastAsia="Times New Roman" w:hAnsi="Times New Roman" w:cs="Times New Roman"/>
          <w:color w:val="000000"/>
          <w:sz w:val="24"/>
          <w:szCs w:val="24"/>
        </w:rPr>
        <w:t xml:space="preserve">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321656AD" w:rsidR="001E139E" w:rsidRDefault="005D6343" w:rsidP="00730F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1E139E" w:rsidRPr="00D15DD8">
        <w:rPr>
          <w:rFonts w:ascii="Times New Roman" w:hAnsi="Times New Roman" w:cs="Times New Roman"/>
          <w:sz w:val="24"/>
          <w:szCs w:val="24"/>
        </w:rPr>
        <w:t xml:space="preserve"> Kaplan-Meier survival analysis</w:t>
      </w:r>
      <w:r w:rsidR="004E6E7C">
        <w:rPr>
          <w:rFonts w:ascii="Times New Roman" w:hAnsi="Times New Roman" w:cs="Times New Roman"/>
          <w:sz w:val="24"/>
          <w:szCs w:val="24"/>
        </w:rPr>
        <w:t xml:space="preserve"> (KM)</w:t>
      </w:r>
      <w:r w:rsidR="001E139E" w:rsidRPr="00D15DD8">
        <w:rPr>
          <w:rFonts w:ascii="Times New Roman" w:hAnsi="Times New Roman" w:cs="Times New Roman"/>
          <w:sz w:val="24"/>
          <w:szCs w:val="24"/>
        </w:rPr>
        <w:t xml:space="preserve">, log-rank test, and Cox-proportional hazard modeling </w:t>
      </w:r>
      <w:r w:rsidR="0058115D">
        <w:rPr>
          <w:rFonts w:ascii="Times New Roman" w:hAnsi="Times New Roman" w:cs="Times New Roman"/>
          <w:sz w:val="24"/>
          <w:szCs w:val="24"/>
        </w:rPr>
        <w:t>was</w:t>
      </w:r>
      <w:r w:rsidR="001E139E" w:rsidRPr="00D15DD8">
        <w:rPr>
          <w:rFonts w:ascii="Times New Roman" w:hAnsi="Times New Roman" w:cs="Times New Roman"/>
          <w:sz w:val="24"/>
          <w:szCs w:val="24"/>
        </w:rPr>
        <w:t xml:space="preserve"> performed </w:t>
      </w:r>
      <w:r w:rsidR="00331892">
        <w:rPr>
          <w:rFonts w:ascii="Times New Roman" w:hAnsi="Times New Roman" w:cs="Times New Roman"/>
          <w:sz w:val="24"/>
          <w:szCs w:val="24"/>
        </w:rPr>
        <w:t>o</w:t>
      </w:r>
      <w:r w:rsidR="001E139E" w:rsidRPr="00D15DD8">
        <w:rPr>
          <w:rFonts w:ascii="Times New Roman" w:hAnsi="Times New Roman" w:cs="Times New Roman"/>
          <w:sz w:val="24"/>
          <w:szCs w:val="24"/>
        </w:rPr>
        <w:t xml:space="preserve">n </w:t>
      </w:r>
      <w:r w:rsidR="00474930">
        <w:rPr>
          <w:rFonts w:ascii="Times New Roman" w:hAnsi="Times New Roman" w:cs="Times New Roman"/>
          <w:sz w:val="24"/>
          <w:szCs w:val="24"/>
        </w:rPr>
        <w:t xml:space="preserve">ovarian cancer </w:t>
      </w:r>
      <w:r w:rsidR="001E139E"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001E139E" w:rsidRPr="00D15DD8">
        <w:rPr>
          <w:rFonts w:ascii="Times New Roman" w:hAnsi="Times New Roman" w:cs="Times New Roman"/>
          <w:sz w:val="24"/>
          <w:szCs w:val="24"/>
        </w:rPr>
        <w:t xml:space="preserve"> mutations in 55 different collagen genes from the TCGA database.</w:t>
      </w:r>
      <w:r w:rsidR="00FC6F37">
        <w:rPr>
          <w:rFonts w:ascii="Times New Roman" w:hAnsi="Times New Roman" w:cs="Times New Roman"/>
          <w:sz w:val="24"/>
          <w:szCs w:val="24"/>
        </w:rPr>
        <w:t xml:space="preserve">  </w:t>
      </w:r>
      <w:r w:rsidR="004F2DF2">
        <w:rPr>
          <w:rFonts w:ascii="Times New Roman" w:hAnsi="Times New Roman" w:cs="Times New Roman"/>
          <w:sz w:val="24"/>
          <w:szCs w:val="24"/>
        </w:rPr>
        <w:t xml:space="preserve">There are 46 genes that directly encode for collagen in the human genome, </w:t>
      </w:r>
      <w:r w:rsidR="00C62480">
        <w:rPr>
          <w:rFonts w:ascii="Times New Roman" w:hAnsi="Times New Roman" w:cs="Times New Roman"/>
          <w:sz w:val="24"/>
          <w:szCs w:val="24"/>
        </w:rPr>
        <w:t>three</w:t>
      </w:r>
      <w:r w:rsidR="004F2DF2">
        <w:rPr>
          <w:rFonts w:ascii="Times New Roman" w:hAnsi="Times New Roman" w:cs="Times New Roman"/>
          <w:sz w:val="24"/>
          <w:szCs w:val="24"/>
        </w:rPr>
        <w:t xml:space="preserve"> coll</w:t>
      </w:r>
      <w:r w:rsidR="002B24B4">
        <w:rPr>
          <w:rFonts w:ascii="Times New Roman" w:hAnsi="Times New Roman" w:cs="Times New Roman"/>
          <w:sz w:val="24"/>
          <w:szCs w:val="24"/>
        </w:rPr>
        <w:t>agen</w:t>
      </w:r>
      <w:r w:rsidR="004F2DF2">
        <w:rPr>
          <w:rFonts w:ascii="Times New Roman" w:hAnsi="Times New Roman" w:cs="Times New Roman"/>
          <w:sz w:val="24"/>
          <w:szCs w:val="24"/>
        </w:rPr>
        <w:t xml:space="preserve"> subfamily genes which code for proteins that are collagen-like (COLEC genes), </w:t>
      </w:r>
      <w:r w:rsidR="00C62480">
        <w:rPr>
          <w:rFonts w:ascii="Times New Roman" w:hAnsi="Times New Roman" w:cs="Times New Roman"/>
          <w:sz w:val="24"/>
          <w:szCs w:val="24"/>
        </w:rPr>
        <w:t>two</w:t>
      </w:r>
      <w:r w:rsidR="004F2DF2">
        <w:rPr>
          <w:rFonts w:ascii="Times New Roman" w:hAnsi="Times New Roman" w:cs="Times New Roman"/>
          <w:sz w:val="24"/>
          <w:szCs w:val="24"/>
        </w:rPr>
        <w:t xml:space="preserve"> collagen </w:t>
      </w:r>
      <w:proofErr w:type="gramStart"/>
      <w:r w:rsidR="004F2DF2">
        <w:rPr>
          <w:rFonts w:ascii="Times New Roman" w:hAnsi="Times New Roman" w:cs="Times New Roman"/>
          <w:sz w:val="24"/>
          <w:szCs w:val="24"/>
        </w:rPr>
        <w:t>beta(</w:t>
      </w:r>
      <w:proofErr w:type="gramEnd"/>
      <w:r w:rsidR="004F2DF2">
        <w:rPr>
          <w:rFonts w:ascii="Times New Roman" w:hAnsi="Times New Roman" w:cs="Times New Roman"/>
          <w:sz w:val="24"/>
          <w:szCs w:val="24"/>
        </w:rPr>
        <w:t xml:space="preserve">1-0)galactosyltransferase genes (COLGALT genes), a collagen like </w:t>
      </w:r>
      <w:r w:rsidR="00DC4114">
        <w:rPr>
          <w:rFonts w:ascii="Times New Roman" w:hAnsi="Times New Roman" w:cs="Times New Roman"/>
          <w:sz w:val="24"/>
          <w:szCs w:val="24"/>
        </w:rPr>
        <w:t xml:space="preserve">subunit of acetylcholinesterase (COLQ), and </w:t>
      </w:r>
      <w:r w:rsidR="00C62480">
        <w:rPr>
          <w:rFonts w:ascii="Times New Roman" w:hAnsi="Times New Roman" w:cs="Times New Roman"/>
          <w:sz w:val="24"/>
          <w:szCs w:val="24"/>
        </w:rPr>
        <w:t>two</w:t>
      </w:r>
      <w:r w:rsidR="00DC4114">
        <w:rPr>
          <w:rFonts w:ascii="Times New Roman" w:hAnsi="Times New Roman" w:cs="Times New Roman"/>
          <w:sz w:val="24"/>
          <w:szCs w:val="24"/>
        </w:rPr>
        <w:t xml:space="preserve"> pro-collagen enhancer genes (PCOLCE genes) (Gene Group, n.d.).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w:t>
      </w:r>
      <w:r w:rsidR="001E21CC">
        <w:rPr>
          <w:rFonts w:ascii="Times New Roman" w:hAnsi="Times New Roman" w:cs="Times New Roman"/>
          <w:sz w:val="24"/>
          <w:szCs w:val="24"/>
        </w:rPr>
        <w:t xml:space="preserve"> </w:t>
      </w:r>
      <w:r w:rsidR="001E21CC">
        <w:rPr>
          <w:rFonts w:ascii="Times New Roman" w:hAnsi="Times New Roman" w:cs="Times New Roman"/>
          <w:sz w:val="24"/>
          <w:szCs w:val="24"/>
        </w:rPr>
        <w:lastRenderedPageBreak/>
        <w:t>and death rates</w:t>
      </w:r>
      <w:r w:rsidR="00A10174">
        <w:rPr>
          <w:rFonts w:ascii="Times New Roman" w:hAnsi="Times New Roman" w:cs="Times New Roman"/>
          <w:sz w:val="24"/>
          <w:szCs w:val="24"/>
        </w:rPr>
        <w:t xml:space="preserve"> in ovarian cancer patients regarding CNV.</w:t>
      </w:r>
      <w:r w:rsidR="00AC3ED5">
        <w:rPr>
          <w:rFonts w:ascii="Times New Roman" w:hAnsi="Times New Roman" w:cs="Times New Roman"/>
          <w:sz w:val="24"/>
          <w:szCs w:val="24"/>
        </w:rPr>
        <w:t xml:space="preserve">  For survival analysis</w:t>
      </w:r>
      <w:r w:rsidR="0058115D">
        <w:rPr>
          <w:rFonts w:ascii="Times New Roman" w:hAnsi="Times New Roman" w:cs="Times New Roman"/>
          <w:sz w:val="24"/>
          <w:szCs w:val="24"/>
        </w:rPr>
        <w:t>,</w:t>
      </w:r>
      <w:r w:rsidR="00AC3ED5">
        <w:rPr>
          <w:rFonts w:ascii="Times New Roman" w:hAnsi="Times New Roman" w:cs="Times New Roman"/>
          <w:sz w:val="24"/>
          <w:szCs w:val="24"/>
        </w:rPr>
        <w:t xml:space="preserve"> the dependent variable is the time to event</w:t>
      </w:r>
      <w:r w:rsidR="002E24DD">
        <w:rPr>
          <w:rFonts w:ascii="Times New Roman" w:hAnsi="Times New Roman" w:cs="Times New Roman"/>
          <w:sz w:val="24"/>
          <w:szCs w:val="24"/>
        </w:rPr>
        <w:t xml:space="preserve">, </w:t>
      </w:r>
      <w:r w:rsidR="00191DC8">
        <w:rPr>
          <w:rFonts w:ascii="Times New Roman" w:hAnsi="Times New Roman" w:cs="Times New Roman"/>
          <w:sz w:val="24"/>
          <w:szCs w:val="24"/>
        </w:rPr>
        <w:t>defined as</w:t>
      </w:r>
      <w:r w:rsidR="0058115D">
        <w:rPr>
          <w:rFonts w:ascii="Times New Roman" w:hAnsi="Times New Roman" w:cs="Times New Roman"/>
          <w:sz w:val="24"/>
          <w:szCs w:val="24"/>
        </w:rPr>
        <w:t xml:space="preserve"> </w:t>
      </w:r>
      <w:r w:rsidR="002E24DD">
        <w:rPr>
          <w:rFonts w:ascii="Times New Roman" w:hAnsi="Times New Roman" w:cs="Times New Roman"/>
          <w:sz w:val="24"/>
          <w:szCs w:val="24"/>
        </w:rPr>
        <w:t>death</w:t>
      </w:r>
      <w:r w:rsidR="0058115D">
        <w:rPr>
          <w:rFonts w:ascii="Times New Roman" w:hAnsi="Times New Roman" w:cs="Times New Roman"/>
          <w:sz w:val="24"/>
          <w:szCs w:val="24"/>
        </w:rPr>
        <w:t xml:space="preserve">, </w:t>
      </w:r>
      <w:r w:rsidR="00AC3ED5">
        <w:rPr>
          <w:rFonts w:ascii="Times New Roman" w:hAnsi="Times New Roman" w:cs="Times New Roman"/>
          <w:sz w:val="24"/>
          <w:szCs w:val="24"/>
        </w:rPr>
        <w:t>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1A70716D"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literature </w:t>
      </w:r>
      <w:r w:rsidR="009D1E53">
        <w:rPr>
          <w:rFonts w:ascii="Times New Roman" w:hAnsi="Times New Roman" w:cs="Times New Roman"/>
          <w:sz w:val="24"/>
          <w:szCs w:val="24"/>
        </w:rPr>
        <w:t xml:space="preserve">on genetics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5ED18075"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knowledge base</w:t>
      </w:r>
      <w:r w:rsidR="00D94DB1">
        <w:rPr>
          <w:rFonts w:ascii="Times New Roman" w:hAnsi="Times New Roman" w:cs="Times New Roman"/>
          <w:sz w:val="24"/>
          <w:szCs w:val="24"/>
        </w:rPr>
        <w:t xml:space="preserve"> of CNV effects on patient survivability</w:t>
      </w:r>
      <w:r>
        <w:rPr>
          <w:rFonts w:ascii="Times New Roman" w:hAnsi="Times New Roman" w:cs="Times New Roman"/>
          <w:sz w:val="24"/>
          <w:szCs w:val="24"/>
        </w:rPr>
        <w:t xml:space="preserv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w:t>
      </w:r>
      <w:r w:rsidR="00D94DB1">
        <w:rPr>
          <w:rFonts w:ascii="Times New Roman" w:hAnsi="Times New Roman" w:cs="Times New Roman"/>
          <w:sz w:val="24"/>
          <w:szCs w:val="24"/>
        </w:rPr>
        <w:t>outcomes with increased survivability</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The goal of this research is to</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increase the knowledge base of CNV effects in hopes for eventual</w:t>
      </w:r>
      <w:r w:rsidR="005158FB">
        <w:rPr>
          <w:rFonts w:ascii="Times New Roman" w:hAnsi="Times New Roman" w:cs="Times New Roman"/>
          <w:sz w:val="24"/>
          <w:szCs w:val="24"/>
        </w:rPr>
        <w:t xml:space="preserve">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6D28BF21"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CF7DFB">
        <w:rPr>
          <w:rFonts w:ascii="Times New Roman" w:eastAsia="Times New Roman" w:hAnsi="Times New Roman" w:cs="Times New Roman"/>
          <w:color w:val="000000"/>
          <w:sz w:val="24"/>
          <w:szCs w:val="24"/>
        </w:rPr>
        <w:t xml:space="preserve"> and </w:t>
      </w:r>
      <w:r w:rsidR="00A30C64">
        <w:rPr>
          <w:rFonts w:ascii="Times New Roman" w:eastAsia="Times New Roman" w:hAnsi="Times New Roman" w:cs="Times New Roman"/>
          <w:color w:val="000000"/>
          <w:sz w:val="24"/>
          <w:szCs w:val="24"/>
        </w:rPr>
        <w:t>ovarian cancer</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w:t>
      </w:r>
      <w:r w:rsidR="00C40280">
        <w:rPr>
          <w:rFonts w:ascii="Times New Roman" w:eastAsia="Times New Roman" w:hAnsi="Times New Roman" w:cs="Times New Roman"/>
          <w:color w:val="000000"/>
          <w:sz w:val="24"/>
          <w:szCs w:val="24"/>
        </w:rPr>
        <w:t>over 300</w:t>
      </w:r>
      <w:r w:rsidR="00E432B5">
        <w:rPr>
          <w:rFonts w:ascii="Times New Roman" w:eastAsia="Times New Roman" w:hAnsi="Times New Roman" w:cs="Times New Roman"/>
          <w:color w:val="000000"/>
          <w:sz w:val="24"/>
          <w:szCs w:val="24"/>
        </w:rPr>
        <w:t xml:space="preserve">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r w:rsidR="00C40280">
        <w:rPr>
          <w:rFonts w:ascii="Times New Roman" w:eastAsia="Times New Roman" w:hAnsi="Times New Roman" w:cs="Times New Roman"/>
          <w:color w:val="000000"/>
          <w:sz w:val="24"/>
          <w:szCs w:val="24"/>
        </w:rPr>
        <w:t xml:space="preserve">  A secondary search was also performed in google scholar regarding ovarian cancer and CNV.</w:t>
      </w:r>
    </w:p>
    <w:p w14:paraId="49283BAC" w14:textId="41BEDEBE"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expression is generally the </w:t>
      </w:r>
      <w:r w:rsidR="003F7EC8">
        <w:rPr>
          <w:rFonts w:ascii="Times New Roman" w:eastAsia="Times New Roman" w:hAnsi="Times New Roman" w:cs="Times New Roman"/>
          <w:color w:val="000000"/>
          <w:sz w:val="24"/>
          <w:szCs w:val="24"/>
        </w:rPr>
        <w:t>most researched</w:t>
      </w:r>
      <w:r>
        <w:rPr>
          <w:rFonts w:ascii="Times New Roman" w:eastAsia="Times New Roman" w:hAnsi="Times New Roman" w:cs="Times New Roman"/>
          <w:color w:val="000000"/>
          <w:sz w:val="24"/>
          <w:szCs w:val="24"/>
        </w:rPr>
        <w:t xml:space="preserve">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w:t>
      </w:r>
      <w:r w:rsidR="00CF7A5B">
        <w:rPr>
          <w:rFonts w:ascii="Times New Roman" w:eastAsia="Times New Roman" w:hAnsi="Times New Roman" w:cs="Times New Roman"/>
          <w:color w:val="000000"/>
          <w:sz w:val="24"/>
          <w:szCs w:val="24"/>
        </w:rPr>
        <w:t>have</w:t>
      </w:r>
      <w:r w:rsidR="006E662F">
        <w:rPr>
          <w:rFonts w:ascii="Times New Roman" w:eastAsia="Times New Roman" w:hAnsi="Times New Roman" w:cs="Times New Roman"/>
          <w:color w:val="000000"/>
          <w:sz w:val="24"/>
          <w:szCs w:val="24"/>
        </w:rPr>
        <w:t xml:space="preserve"> been </w:t>
      </w:r>
      <w:r w:rsidR="00D56690">
        <w:rPr>
          <w:rFonts w:ascii="Times New Roman" w:eastAsia="Times New Roman" w:hAnsi="Times New Roman" w:cs="Times New Roman"/>
          <w:color w:val="000000"/>
          <w:sz w:val="24"/>
          <w:szCs w:val="24"/>
        </w:rPr>
        <w:t>investigated</w:t>
      </w:r>
      <w:r w:rsidR="006E662F">
        <w:rPr>
          <w:rFonts w:ascii="Times New Roman" w:eastAsia="Times New Roman" w:hAnsi="Times New Roman" w:cs="Times New Roman"/>
          <w:color w:val="000000"/>
          <w:sz w:val="24"/>
          <w:szCs w:val="24"/>
        </w:rPr>
        <w:t xml:space="preserve">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w:t>
      </w:r>
      <w:r w:rsidR="006E298F">
        <w:rPr>
          <w:rFonts w:ascii="Times New Roman" w:eastAsia="Times New Roman" w:hAnsi="Times New Roman" w:cs="Times New Roman"/>
          <w:color w:val="000000"/>
          <w:sz w:val="24"/>
          <w:szCs w:val="24"/>
        </w:rPr>
        <w:lastRenderedPageBreak/>
        <w:t>often</w:t>
      </w:r>
      <w:r w:rsidR="006167B2">
        <w:rPr>
          <w:rFonts w:ascii="Times New Roman" w:eastAsia="Times New Roman" w:hAnsi="Times New Roman" w:cs="Times New Roman"/>
          <w:color w:val="000000"/>
          <w:sz w:val="24"/>
          <w:szCs w:val="24"/>
        </w:rPr>
        <w:t xml:space="preserve"> as gene expression</w:t>
      </w:r>
      <w:r w:rsidR="00742EFD">
        <w:rPr>
          <w:rFonts w:ascii="Times New Roman" w:eastAsia="Times New Roman" w:hAnsi="Times New Roman" w:cs="Times New Roman"/>
          <w:color w:val="000000"/>
          <w:sz w:val="24"/>
          <w:szCs w:val="24"/>
        </w:rPr>
        <w:t>, as the increase in RNA sequencing technology has been the focus in the scientific community.  This is surprising considering that a systemic study of the human population has shown noticeable effects from CNV mutations (Shaikh, 2017).</w:t>
      </w:r>
    </w:p>
    <w:p w14:paraId="0C4F164A" w14:textId="64AFC115"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 xml:space="preserve">neoplasms and </w:t>
      </w:r>
      <w:r w:rsidR="00C30FAA">
        <w:rPr>
          <w:rFonts w:ascii="Times New Roman" w:eastAsia="Times New Roman" w:hAnsi="Times New Roman" w:cs="Times New Roman"/>
          <w:color w:val="000000"/>
          <w:sz w:val="24"/>
          <w:szCs w:val="24"/>
        </w:rPr>
        <w:t>was suggested to involve</w:t>
      </w:r>
      <w:r w:rsidR="004D22B2">
        <w:rPr>
          <w:rFonts w:ascii="Times New Roman" w:eastAsia="Times New Roman" w:hAnsi="Times New Roman" w:cs="Times New Roman"/>
          <w:color w:val="000000"/>
          <w:sz w:val="24"/>
          <w:szCs w:val="24"/>
        </w:rPr>
        <w:t xml:space="preserve">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5A3A39">
        <w:rPr>
          <w:rFonts w:ascii="Times New Roman" w:eastAsia="Times New Roman" w:hAnsi="Times New Roman" w:cs="Times New Roman"/>
          <w:color w:val="000000"/>
          <w:sz w:val="24"/>
          <w:szCs w:val="24"/>
        </w:rPr>
        <w:t xml:space="preserve">  There are too many gene expression and cancer studies to describe in this research, however.</w:t>
      </w:r>
    </w:p>
    <w:p w14:paraId="060E759A" w14:textId="7CE20F26" w:rsidR="006847FC" w:rsidRDefault="00A5247A"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w:t>
      </w:r>
      <w:r w:rsidR="00662AED">
        <w:rPr>
          <w:rFonts w:ascii="Times New Roman" w:eastAsia="Times New Roman" w:hAnsi="Times New Roman" w:cs="Times New Roman"/>
          <w:color w:val="000000"/>
          <w:sz w:val="24"/>
          <w:szCs w:val="24"/>
        </w:rPr>
        <w:t xml:space="preserve"> </w:t>
      </w:r>
      <w:r w:rsidR="00A33FB0">
        <w:rPr>
          <w:rFonts w:ascii="Times New Roman" w:eastAsia="Times New Roman" w:hAnsi="Times New Roman" w:cs="Times New Roman"/>
          <w:color w:val="000000"/>
          <w:sz w:val="24"/>
          <w:szCs w:val="24"/>
        </w:rPr>
        <w:t>investigation</w:t>
      </w:r>
      <w:r w:rsidR="00662AED">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w:t>
      </w:r>
      <w:r w:rsidR="00457580">
        <w:rPr>
          <w:rFonts w:ascii="Times New Roman" w:eastAsia="Times New Roman" w:hAnsi="Times New Roman" w:cs="Times New Roman"/>
          <w:color w:val="000000"/>
          <w:sz w:val="24"/>
          <w:szCs w:val="24"/>
        </w:rPr>
        <w:t>ovarian cancer</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r w:rsidR="00AE651C">
        <w:rPr>
          <w:rFonts w:ascii="Times New Roman" w:eastAsia="Times New Roman" w:hAnsi="Times New Roman" w:cs="Times New Roman"/>
          <w:color w:val="000000"/>
          <w:sz w:val="24"/>
          <w:szCs w:val="24"/>
        </w:rPr>
        <w:t xml:space="preserve">  Another study by the same author investigated CNV with drug exposure and survival data which allowed inference to drug-gene interactions which effect patient survival which was then put into a portal called the gene-drug interaction for survival in cancer (GDISC) (Spainhour et al., 2017).</w:t>
      </w:r>
      <w:r w:rsidR="002417DC">
        <w:rPr>
          <w:rFonts w:ascii="Times New Roman" w:eastAsia="Times New Roman" w:hAnsi="Times New Roman" w:cs="Times New Roman"/>
          <w:color w:val="000000"/>
          <w:sz w:val="24"/>
          <w:szCs w:val="24"/>
        </w:rPr>
        <w:t xml:space="preserve">  One study researched CNV from TCGA and tried to identify genes as strong candidates for therapeutic targeting (Li et al., 2017).</w:t>
      </w:r>
    </w:p>
    <w:p w14:paraId="40709177" w14:textId="74E0BC0E" w:rsidR="00817607" w:rsidRDefault="00817607"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study performed a genome-wide analysis of CNV and ovarian cancer risk and found three CNV regions which are strongly associated with ovarian cancer risk</w:t>
      </w:r>
      <w:r w:rsidR="00475A64">
        <w:rPr>
          <w:rFonts w:ascii="Times New Roman" w:eastAsia="Times New Roman" w:hAnsi="Times New Roman" w:cs="Times New Roman"/>
          <w:color w:val="000000"/>
          <w:sz w:val="24"/>
          <w:szCs w:val="24"/>
        </w:rPr>
        <w:t xml:space="preserve">, but may not </w:t>
      </w:r>
      <w:r w:rsidR="00475A64">
        <w:rPr>
          <w:rFonts w:ascii="Times New Roman" w:eastAsia="Times New Roman" w:hAnsi="Times New Roman" w:cs="Times New Roman"/>
          <w:color w:val="000000"/>
          <w:sz w:val="24"/>
          <w:szCs w:val="24"/>
        </w:rPr>
        <w:lastRenderedPageBreak/>
        <w:t>contribute to susceptibility</w:t>
      </w:r>
      <w:r>
        <w:rPr>
          <w:rFonts w:ascii="Times New Roman" w:eastAsia="Times New Roman" w:hAnsi="Times New Roman" w:cs="Times New Roman"/>
          <w:color w:val="000000"/>
          <w:sz w:val="24"/>
          <w:szCs w:val="24"/>
        </w:rPr>
        <w:t xml:space="preserve"> (Reid et al., 2019).</w:t>
      </w:r>
      <w:r w:rsidR="000E64A3">
        <w:rPr>
          <w:rFonts w:ascii="Times New Roman" w:eastAsia="Times New Roman" w:hAnsi="Times New Roman" w:cs="Times New Roman"/>
          <w:color w:val="000000"/>
          <w:sz w:val="24"/>
          <w:szCs w:val="24"/>
        </w:rPr>
        <w:t xml:space="preserve">  Thus, there has been some research on CNV, however, the research of the topic is still small compared to gene expression.</w:t>
      </w:r>
    </w:p>
    <w:p w14:paraId="5BCD0E3E" w14:textId="648859C9" w:rsidR="00475A64" w:rsidRDefault="00DC6AD6"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Furthermore</w:t>
      </w:r>
      <w:r w:rsidR="00475A64">
        <w:rPr>
          <w:rFonts w:ascii="Times New Roman" w:eastAsia="Times New Roman" w:hAnsi="Times New Roman" w:cs="Times New Roman"/>
          <w:color w:val="000000"/>
          <w:sz w:val="24"/>
          <w:szCs w:val="24"/>
        </w:rPr>
        <w:t xml:space="preserve">, TCGA has been researched before with ovarian cancer and CNV.  However, </w:t>
      </w:r>
      <w:r w:rsidR="00A902B2">
        <w:rPr>
          <w:rFonts w:ascii="Times New Roman" w:eastAsia="Times New Roman" w:hAnsi="Times New Roman" w:cs="Times New Roman"/>
          <w:color w:val="000000"/>
          <w:sz w:val="24"/>
          <w:szCs w:val="24"/>
        </w:rPr>
        <w:t>one</w:t>
      </w:r>
      <w:r w:rsidR="00475A64">
        <w:rPr>
          <w:rFonts w:ascii="Times New Roman" w:eastAsia="Times New Roman" w:hAnsi="Times New Roman" w:cs="Times New Roman"/>
          <w:color w:val="000000"/>
          <w:sz w:val="24"/>
          <w:szCs w:val="24"/>
        </w:rPr>
        <w:t xml:space="preserve"> study was limited to only 3 genes more commonly found in breast cancer and performed only a large-scale exome-wide analysis (</w:t>
      </w:r>
      <w:proofErr w:type="spellStart"/>
      <w:r w:rsidR="00475A64">
        <w:rPr>
          <w:rFonts w:ascii="Times New Roman" w:eastAsia="Times New Roman" w:hAnsi="Times New Roman" w:cs="Times New Roman"/>
          <w:color w:val="000000"/>
          <w:sz w:val="24"/>
          <w:szCs w:val="24"/>
        </w:rPr>
        <w:t>Kanchi</w:t>
      </w:r>
      <w:proofErr w:type="spellEnd"/>
      <w:r w:rsidR="00475A64">
        <w:rPr>
          <w:rFonts w:ascii="Times New Roman" w:eastAsia="Times New Roman" w:hAnsi="Times New Roman" w:cs="Times New Roman"/>
          <w:color w:val="000000"/>
          <w:sz w:val="24"/>
          <w:szCs w:val="24"/>
        </w:rPr>
        <w:t xml:space="preserve"> et al., 2014).</w:t>
      </w:r>
      <w:r w:rsidR="00044FCC">
        <w:rPr>
          <w:rFonts w:ascii="Times New Roman" w:eastAsia="Times New Roman" w:hAnsi="Times New Roman" w:cs="Times New Roman"/>
          <w:color w:val="000000"/>
          <w:sz w:val="24"/>
          <w:szCs w:val="24"/>
        </w:rPr>
        <w:t xml:space="preserve">  Another TCGA study found that estrogen related receptor CNV is related to ovarian cancer histological grades of ovarian cancer (Huang et al., 2021).</w:t>
      </w:r>
    </w:p>
    <w:p w14:paraId="22D37DB3" w14:textId="29D04B1B" w:rsidR="00DE5CE4" w:rsidRDefault="002E2091"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Genetic research also has biases which one should be aware of.  A</w:t>
      </w:r>
      <w:r w:rsidR="00DE5CE4">
        <w:rPr>
          <w:rFonts w:ascii="Times New Roman" w:eastAsia="Times New Roman" w:hAnsi="Times New Roman" w:cs="Times New Roman"/>
          <w:color w:val="000000"/>
          <w:sz w:val="24"/>
          <w:szCs w:val="24"/>
        </w:rPr>
        <w:t xml:space="preserve">n important bias to mention from </w:t>
      </w:r>
      <w:r w:rsidR="00002AF1">
        <w:rPr>
          <w:rFonts w:ascii="Times New Roman" w:eastAsia="Times New Roman" w:hAnsi="Times New Roman" w:cs="Times New Roman"/>
          <w:color w:val="000000"/>
          <w:sz w:val="24"/>
          <w:szCs w:val="24"/>
        </w:rPr>
        <w:t xml:space="preserve">TCGA </w:t>
      </w:r>
      <w:r w:rsidR="00DE5CE4">
        <w:rPr>
          <w:rFonts w:ascii="Times New Roman" w:eastAsia="Times New Roman" w:hAnsi="Times New Roman" w:cs="Times New Roman"/>
          <w:color w:val="000000"/>
          <w:sz w:val="24"/>
          <w:szCs w:val="24"/>
        </w:rPr>
        <w:t xml:space="preserve">literature, </w:t>
      </w:r>
      <w:r w:rsidR="00DE5CE4">
        <w:rPr>
          <w:rFonts w:ascii="Times New Roman" w:hAnsi="Times New Roman" w:cs="Times New Roman"/>
          <w:sz w:val="24"/>
          <w:szCs w:val="24"/>
        </w:rPr>
        <w:t>s</w:t>
      </w:r>
      <w:r w:rsidR="00DE5CE4" w:rsidRPr="00D15DD8">
        <w:rPr>
          <w:rFonts w:ascii="Times New Roman" w:hAnsi="Times New Roman" w:cs="Times New Roman"/>
          <w:sz w:val="24"/>
          <w:szCs w:val="24"/>
        </w:rPr>
        <w:t xml:space="preserve">equence homology can </w:t>
      </w:r>
      <w:r w:rsidR="00DE5CE4">
        <w:rPr>
          <w:rFonts w:ascii="Times New Roman" w:hAnsi="Times New Roman" w:cs="Times New Roman"/>
          <w:sz w:val="24"/>
          <w:szCs w:val="24"/>
        </w:rPr>
        <w:t>create</w:t>
      </w:r>
      <w:r w:rsidR="00DE5CE4" w:rsidRPr="00D15DD8">
        <w:rPr>
          <w:rFonts w:ascii="Times New Roman" w:hAnsi="Times New Roman" w:cs="Times New Roman"/>
          <w:sz w:val="24"/>
          <w:szCs w:val="24"/>
        </w:rPr>
        <w:t xml:space="preserve"> </w:t>
      </w:r>
      <w:r w:rsidR="00DE5CE4">
        <w:rPr>
          <w:rFonts w:ascii="Times New Roman" w:hAnsi="Times New Roman" w:cs="Times New Roman"/>
          <w:sz w:val="24"/>
          <w:szCs w:val="24"/>
        </w:rPr>
        <w:t>technical</w:t>
      </w:r>
      <w:r w:rsidR="00DE5CE4" w:rsidRPr="00D15DD8">
        <w:rPr>
          <w:rFonts w:ascii="Times New Roman" w:hAnsi="Times New Roman" w:cs="Times New Roman"/>
          <w:sz w:val="24"/>
          <w:szCs w:val="24"/>
        </w:rPr>
        <w:t xml:space="preserve"> artifacts</w:t>
      </w:r>
      <w:r w:rsidR="00DE5CE4">
        <w:rPr>
          <w:rFonts w:ascii="Times New Roman" w:hAnsi="Times New Roman" w:cs="Times New Roman"/>
          <w:sz w:val="24"/>
          <w:szCs w:val="24"/>
        </w:rPr>
        <w:t>,</w:t>
      </w:r>
      <w:r w:rsidR="00DE5CE4" w:rsidRPr="00D15DD8">
        <w:rPr>
          <w:rFonts w:ascii="Times New Roman" w:hAnsi="Times New Roman" w:cs="Times New Roman"/>
          <w:sz w:val="24"/>
          <w:szCs w:val="24"/>
        </w:rPr>
        <w:t xml:space="preserve"> which in turn affects downstream analysis and mapping </w:t>
      </w:r>
      <w:r w:rsidR="00DE5CE4">
        <w:rPr>
          <w:rFonts w:ascii="Times New Roman" w:hAnsi="Times New Roman" w:cs="Times New Roman"/>
          <w:sz w:val="24"/>
          <w:szCs w:val="24"/>
        </w:rPr>
        <w:t xml:space="preserve">which potentially also cause concerns </w:t>
      </w:r>
      <w:r w:rsidR="00DE5CE4" w:rsidRPr="00D15DD8">
        <w:rPr>
          <w:rFonts w:ascii="Times New Roman" w:eastAsia="Times New Roman" w:hAnsi="Times New Roman" w:cs="Times New Roman"/>
          <w:color w:val="000000"/>
          <w:sz w:val="24"/>
          <w:szCs w:val="24"/>
        </w:rPr>
        <w:t>(Webster et al., 2019)</w:t>
      </w:r>
      <w:r w:rsidR="00DE5CE4">
        <w:rPr>
          <w:rFonts w:ascii="Times New Roman" w:eastAsia="Times New Roman" w:hAnsi="Times New Roman" w:cs="Times New Roman"/>
          <w:color w:val="000000"/>
          <w:sz w:val="24"/>
          <w:szCs w:val="24"/>
        </w:rPr>
        <w:t>.  These sequence homologies are created from shared evolutionary roots where DNA regions share high simil</w:t>
      </w:r>
      <w:r w:rsidR="00C6092B">
        <w:rPr>
          <w:rFonts w:ascii="Times New Roman" w:eastAsia="Times New Roman" w:hAnsi="Times New Roman" w:cs="Times New Roman"/>
          <w:color w:val="000000"/>
          <w:sz w:val="24"/>
          <w:szCs w:val="24"/>
        </w:rPr>
        <w:t>arity or can even be pseudogenes</w:t>
      </w:r>
      <w:r w:rsidR="00DE5CE4">
        <w:rPr>
          <w:rFonts w:ascii="Times New Roman" w:eastAsia="Times New Roman" w:hAnsi="Times New Roman" w:cs="Times New Roman"/>
          <w:color w:val="000000"/>
          <w:sz w:val="24"/>
          <w:szCs w:val="24"/>
        </w:rPr>
        <w:t>.  This phenomenon has also been found in TCGA data</w:t>
      </w:r>
      <w:r w:rsidR="00DE5CE4" w:rsidRPr="00E432B5">
        <w:rPr>
          <w:rFonts w:ascii="Times New Roman" w:eastAsia="Times New Roman" w:hAnsi="Times New Roman" w:cs="Times New Roman"/>
          <w:color w:val="000000"/>
          <w:sz w:val="24"/>
          <w:szCs w:val="24"/>
        </w:rPr>
        <w:t xml:space="preserve"> (Buckley et al., 2017)</w:t>
      </w:r>
      <w:r w:rsidR="00DE5CE4">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sidR="00DE5CE4">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w:t>
      </w:r>
      <w:r w:rsidR="00A95CEF">
        <w:rPr>
          <w:rFonts w:ascii="Times New Roman" w:eastAsia="Times New Roman" w:hAnsi="Times New Roman" w:cs="Times New Roman"/>
          <w:color w:val="000000"/>
          <w:sz w:val="24"/>
          <w:szCs w:val="24"/>
        </w:rPr>
        <w:t>genetics</w:t>
      </w:r>
      <w:r w:rsidR="00DE5CE4">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which can be passed to offspring</w:t>
      </w:r>
      <w:r w:rsidR="00DE5CE4">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 xml:space="preserve">in which these </w:t>
      </w:r>
      <w:r w:rsidR="00DE5CE4">
        <w:rPr>
          <w:rFonts w:ascii="Times New Roman" w:eastAsia="Times New Roman" w:hAnsi="Times New Roman" w:cs="Times New Roman"/>
          <w:color w:val="000000"/>
          <w:sz w:val="24"/>
          <w:szCs w:val="24"/>
        </w:rPr>
        <w:t xml:space="preserve">progenitors may work synergistically </w:t>
      </w:r>
      <w:r w:rsidR="00DE5CE4" w:rsidRPr="00E432B5">
        <w:rPr>
          <w:rFonts w:ascii="Times New Roman" w:eastAsia="Times New Roman" w:hAnsi="Times New Roman" w:cs="Times New Roman"/>
          <w:color w:val="000000"/>
          <w:sz w:val="24"/>
          <w:szCs w:val="24"/>
        </w:rPr>
        <w:t>(Buckley et al., 2017)</w:t>
      </w:r>
      <w:r w:rsidR="00DE5CE4">
        <w:rPr>
          <w:rFonts w:ascii="Times New Roman" w:eastAsia="Times New Roman" w:hAnsi="Times New Roman" w:cs="Times New Roman"/>
          <w:color w:val="000000"/>
          <w:sz w:val="24"/>
          <w:szCs w:val="24"/>
        </w:rPr>
        <w:t>.</w:t>
      </w:r>
    </w:p>
    <w:p w14:paraId="7358AF22" w14:textId="413EC0F9" w:rsidR="0026658D" w:rsidRDefault="00840269" w:rsidP="0026658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bias worth mentioning is that there is typically a greater </w:t>
      </w:r>
      <w:r w:rsidR="0041077E">
        <w:rPr>
          <w:rFonts w:ascii="Times New Roman" w:eastAsia="Times New Roman" w:hAnsi="Times New Roman" w:cs="Times New Roman"/>
          <w:color w:val="000000"/>
          <w:sz w:val="24"/>
          <w:szCs w:val="24"/>
        </w:rPr>
        <w:t>type-I</w:t>
      </w:r>
      <w:r>
        <w:rPr>
          <w:rFonts w:ascii="Times New Roman" w:eastAsia="Times New Roman" w:hAnsi="Times New Roman" w:cs="Times New Roman"/>
          <w:color w:val="000000"/>
          <w:sz w:val="24"/>
          <w:szCs w:val="24"/>
        </w:rPr>
        <w:t xml:space="preserve"> error bias in genetic research (</w:t>
      </w:r>
      <w:proofErr w:type="spellStart"/>
      <w:r>
        <w:rPr>
          <w:rFonts w:ascii="Times New Roman" w:eastAsia="Times New Roman" w:hAnsi="Times New Roman" w:cs="Times New Roman"/>
          <w:color w:val="000000"/>
          <w:sz w:val="24"/>
          <w:szCs w:val="24"/>
        </w:rPr>
        <w:t>Efron</w:t>
      </w:r>
      <w:proofErr w:type="spellEnd"/>
      <w:r>
        <w:rPr>
          <w:rFonts w:ascii="Times New Roman" w:eastAsia="Times New Roman" w:hAnsi="Times New Roman" w:cs="Times New Roman"/>
          <w:color w:val="000000"/>
          <w:sz w:val="24"/>
          <w:szCs w:val="24"/>
        </w:rPr>
        <w:t>, 2005).  This is important as false positives could lead to less-than-optimal outcomes for patients along with inefficient spending of time and money.</w:t>
      </w:r>
      <w:r w:rsidR="0026658D">
        <w:rPr>
          <w:rFonts w:ascii="Times New Roman" w:eastAsia="Times New Roman" w:hAnsi="Times New Roman" w:cs="Times New Roman"/>
          <w:color w:val="000000"/>
          <w:sz w:val="24"/>
          <w:szCs w:val="24"/>
        </w:rPr>
        <w:t xml:space="preserve">  Included in contributing to </w:t>
      </w:r>
      <w:r w:rsidR="0041077E">
        <w:rPr>
          <w:rFonts w:ascii="Times New Roman" w:eastAsia="Times New Roman" w:hAnsi="Times New Roman" w:cs="Times New Roman"/>
          <w:color w:val="000000"/>
          <w:sz w:val="24"/>
          <w:szCs w:val="24"/>
        </w:rPr>
        <w:t>type-I</w:t>
      </w:r>
      <w:r w:rsidR="0026658D">
        <w:rPr>
          <w:rFonts w:ascii="Times New Roman" w:eastAsia="Times New Roman" w:hAnsi="Times New Roman" w:cs="Times New Roman"/>
          <w:color w:val="000000"/>
          <w:sz w:val="24"/>
          <w:szCs w:val="24"/>
        </w:rPr>
        <w:t xml:space="preserve"> error bias are study methods which should also be carefully taken into consideration when selecting statistical methods for use in genetic research.</w:t>
      </w:r>
    </w:p>
    <w:p w14:paraId="0D5CB4FC" w14:textId="43A189A5" w:rsidR="005D5DC8" w:rsidRDefault="005D5DC8" w:rsidP="0026658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One other </w:t>
      </w:r>
      <w:r w:rsidR="00C61E40">
        <w:rPr>
          <w:rFonts w:ascii="Times New Roman" w:eastAsia="Times New Roman" w:hAnsi="Times New Roman" w:cs="Times New Roman"/>
          <w:color w:val="000000"/>
          <w:sz w:val="24"/>
          <w:szCs w:val="24"/>
        </w:rPr>
        <w:t>topic</w:t>
      </w:r>
      <w:r>
        <w:rPr>
          <w:rFonts w:ascii="Times New Roman" w:eastAsia="Times New Roman" w:hAnsi="Times New Roman" w:cs="Times New Roman"/>
          <w:color w:val="000000"/>
          <w:sz w:val="24"/>
          <w:szCs w:val="24"/>
        </w:rPr>
        <w:t xml:space="preserve"> worth mentioning is that TCGA is originally built upon the Genome Reference Consortium Human Build 37 (GRCh37) or more commonly known as the HG19 build (Gao et al., 2019).  This is the refence genome that is used for comparison in the </w:t>
      </w:r>
      <w:r w:rsidR="000A584F">
        <w:rPr>
          <w:rFonts w:ascii="Times New Roman" w:eastAsia="Times New Roman" w:hAnsi="Times New Roman" w:cs="Times New Roman"/>
          <w:color w:val="000000"/>
          <w:sz w:val="24"/>
          <w:szCs w:val="24"/>
        </w:rPr>
        <w:t>TCGA,</w:t>
      </w:r>
      <w:r>
        <w:rPr>
          <w:rFonts w:ascii="Times New Roman" w:eastAsia="Times New Roman" w:hAnsi="Times New Roman" w:cs="Times New Roman"/>
          <w:color w:val="000000"/>
          <w:sz w:val="24"/>
          <w:szCs w:val="24"/>
        </w:rPr>
        <w:t xml:space="preserve"> and any further research based upon this work should keep this in mind</w:t>
      </w:r>
      <w:r w:rsidR="000A584F">
        <w:rPr>
          <w:rFonts w:ascii="Times New Roman" w:eastAsia="Times New Roman" w:hAnsi="Times New Roman" w:cs="Times New Roman"/>
          <w:color w:val="000000"/>
          <w:sz w:val="24"/>
          <w:szCs w:val="24"/>
        </w:rPr>
        <w:t xml:space="preserve"> (GRCh37 – hg19 – Genome, 2009)</w:t>
      </w:r>
      <w:r>
        <w:rPr>
          <w:rFonts w:ascii="Times New Roman" w:eastAsia="Times New Roman" w:hAnsi="Times New Roman" w:cs="Times New Roman"/>
          <w:color w:val="000000"/>
          <w:sz w:val="24"/>
          <w:szCs w:val="24"/>
        </w:rPr>
        <w:t>.</w:t>
      </w:r>
      <w:r w:rsidR="00C61E40">
        <w:rPr>
          <w:rFonts w:ascii="Times New Roman" w:eastAsia="Times New Roman" w:hAnsi="Times New Roman" w:cs="Times New Roman"/>
          <w:color w:val="000000"/>
          <w:sz w:val="24"/>
          <w:szCs w:val="24"/>
        </w:rPr>
        <w:t xml:space="preserve">  There have been studies showing that HG19 can be combined with other genome references for a valid dataset (Gao et al., 2019).</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70B006E6"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study uses</w:t>
      </w:r>
      <w:r w:rsidR="000D1046">
        <w:rPr>
          <w:rFonts w:ascii="Times New Roman" w:hAnsi="Times New Roman" w:cs="Times New Roman"/>
          <w:sz w:val="24"/>
          <w:szCs w:val="24"/>
        </w:rPr>
        <w:t xml:space="preserve">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w:t>
      </w:r>
      <w:r w:rsidR="00C81BB9">
        <w:rPr>
          <w:rFonts w:ascii="Times New Roman" w:hAnsi="Times New Roman" w:cs="Times New Roman"/>
          <w:sz w:val="24"/>
          <w:szCs w:val="24"/>
        </w:rPr>
        <w:t>Non-parametric Kaplan-Meier curves are used as this</w:t>
      </w:r>
      <w:r w:rsidR="00E21F6C">
        <w:rPr>
          <w:rFonts w:ascii="Times New Roman" w:hAnsi="Times New Roman" w:cs="Times New Roman"/>
          <w:sz w:val="24"/>
          <w:szCs w:val="24"/>
        </w:rPr>
        <w:t xml:space="preserve">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17912CF2" w14:textId="1FDFC3AB" w:rsidR="00DE1175" w:rsidRDefault="00903AEA"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DE1175">
        <w:rPr>
          <w:rFonts w:ascii="Times New Roman" w:hAnsi="Times New Roman" w:cs="Times New Roman"/>
          <w:sz w:val="24"/>
          <w:szCs w:val="24"/>
        </w:rPr>
        <w:t>The Kaplan-Meier survival curve</w:t>
      </w:r>
      <w:r w:rsidR="002648B7">
        <w:rPr>
          <w:rFonts w:ascii="Times New Roman" w:hAnsi="Times New Roman" w:cs="Times New Roman"/>
          <w:sz w:val="24"/>
          <w:szCs w:val="24"/>
        </w:rPr>
        <w:t xml:space="preserve"> (KM)</w:t>
      </w:r>
      <w:r w:rsidR="00DE1175">
        <w:rPr>
          <w:rFonts w:ascii="Times New Roman" w:hAnsi="Times New Roman" w:cs="Times New Roman"/>
          <w:sz w:val="24"/>
          <w:szCs w:val="24"/>
        </w:rPr>
        <w:t xml:space="preserve"> is used in this study as it </w:t>
      </w:r>
      <w:r w:rsidR="00CB3AE3">
        <w:rPr>
          <w:rFonts w:ascii="Times New Roman" w:hAnsi="Times New Roman" w:cs="Times New Roman"/>
          <w:sz w:val="24"/>
          <w:szCs w:val="24"/>
        </w:rPr>
        <w:t>can</w:t>
      </w:r>
      <w:r w:rsidR="00DE1175">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sidR="00DE1175">
        <w:rPr>
          <w:rFonts w:ascii="Times New Roman" w:hAnsi="Times New Roman" w:cs="Times New Roman"/>
          <w:sz w:val="24"/>
          <w:szCs w:val="24"/>
        </w:rPr>
        <w:t xml:space="preserve">Censoring is defined as the cutoff of survival time when the endpoint of interest has not been studied due to </w:t>
      </w:r>
      <w:r w:rsidR="00187BB6">
        <w:rPr>
          <w:rFonts w:ascii="Times New Roman" w:hAnsi="Times New Roman" w:cs="Times New Roman"/>
          <w:sz w:val="24"/>
          <w:szCs w:val="24"/>
        </w:rPr>
        <w:t>loss of</w:t>
      </w:r>
      <w:r w:rsidR="00DE1175">
        <w:rPr>
          <w:rFonts w:ascii="Times New Roman" w:hAnsi="Times New Roman" w:cs="Times New Roman"/>
          <w:sz w:val="24"/>
          <w:szCs w:val="24"/>
        </w:rPr>
        <w:t xml:space="preserve"> follow-up</w:t>
      </w:r>
      <w:r w:rsidR="00AF30B6">
        <w:rPr>
          <w:rFonts w:ascii="Times New Roman" w:hAnsi="Times New Roman" w:cs="Times New Roman"/>
          <w:sz w:val="24"/>
          <w:szCs w:val="24"/>
        </w:rPr>
        <w:t xml:space="preserve"> (Kaplan &amp; Meier, 1958)</w:t>
      </w:r>
      <w:r w:rsidR="00DE1175">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The Kaplan-Meier survival curve makes a couple of assumptions.  The first is that all survival patients are independent of each other, or rather one patient surviving does not affect another patient surviving or having an event</w:t>
      </w:r>
      <w:r w:rsidR="006B1569">
        <w:rPr>
          <w:rFonts w:ascii="Times New Roman" w:hAnsi="Times New Roman" w:cs="Times New Roman"/>
          <w:sz w:val="24"/>
          <w:szCs w:val="24"/>
        </w:rPr>
        <w:t>, in this case death</w:t>
      </w:r>
      <w:r w:rsidR="001350E2">
        <w:rPr>
          <w:rFonts w:ascii="Times New Roman" w:hAnsi="Times New Roman" w:cs="Times New Roman"/>
          <w:sz w:val="24"/>
          <w:szCs w:val="24"/>
        </w:rPr>
        <w:t xml:space="preserve">.  </w:t>
      </w:r>
      <w:r w:rsidR="00C804AF">
        <w:rPr>
          <w:rFonts w:ascii="Times New Roman" w:hAnsi="Times New Roman" w:cs="Times New Roman"/>
          <w:sz w:val="24"/>
          <w:szCs w:val="24"/>
        </w:rPr>
        <w:t xml:space="preserve">The second assumption is that censoring does not lead to an increased or decreased likelihood of events.  </w:t>
      </w:r>
      <w:r w:rsidR="00CE2502">
        <w:rPr>
          <w:rFonts w:ascii="Times New Roman" w:hAnsi="Times New Roman" w:cs="Times New Roman"/>
          <w:sz w:val="24"/>
          <w:szCs w:val="24"/>
        </w:rPr>
        <w:t xml:space="preserve">Censoring occurs independently.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A306EB">
        <w:rPr>
          <w:rFonts w:ascii="Times New Roman" w:hAnsi="Times New Roman" w:cs="Times New Roman"/>
          <w:sz w:val="24"/>
          <w:szCs w:val="24"/>
        </w:rPr>
        <w:t xml:space="preserve">The Kaplan-Meier curve </w:t>
      </w:r>
      <w:proofErr w:type="gramStart"/>
      <w:r w:rsidR="00A306EB">
        <w:rPr>
          <w:rFonts w:ascii="Times New Roman" w:hAnsi="Times New Roman" w:cs="Times New Roman"/>
          <w:sz w:val="24"/>
          <w:szCs w:val="24"/>
        </w:rPr>
        <w:t>is considered to be</w:t>
      </w:r>
      <w:proofErr w:type="gramEnd"/>
      <w:r w:rsidR="00A306EB">
        <w:rPr>
          <w:rFonts w:ascii="Times New Roman" w:hAnsi="Times New Roman" w:cs="Times New Roman"/>
          <w:sz w:val="24"/>
          <w:szCs w:val="24"/>
        </w:rPr>
        <w:t xml:space="preserve"> the “gold standard” in survival distribution estimation and is also used instead </w:t>
      </w:r>
      <w:r w:rsidR="00A306EB">
        <w:rPr>
          <w:rFonts w:ascii="Times New Roman" w:hAnsi="Times New Roman" w:cs="Times New Roman"/>
          <w:sz w:val="24"/>
          <w:szCs w:val="24"/>
        </w:rPr>
        <w:lastRenderedPageBreak/>
        <w:t>of the Nelson-Aalen estimator in this study.  This is due to the Nelson-Aalen estimator is consistently large in estimates when compared to the Kaplan-Meier estimation method (</w:t>
      </w:r>
      <w:proofErr w:type="spellStart"/>
      <w:r w:rsidR="00A306EB">
        <w:rPr>
          <w:rFonts w:ascii="Times New Roman" w:hAnsi="Times New Roman" w:cs="Times New Roman"/>
          <w:sz w:val="24"/>
          <w:szCs w:val="24"/>
        </w:rPr>
        <w:t>Bohoris</w:t>
      </w:r>
      <w:proofErr w:type="spellEnd"/>
      <w:r w:rsidR="00A306EB">
        <w:rPr>
          <w:rFonts w:ascii="Times New Roman" w:hAnsi="Times New Roman" w:cs="Times New Roman"/>
          <w:sz w:val="24"/>
          <w:szCs w:val="24"/>
        </w:rPr>
        <w:t xml:space="preserve">, 1994).  </w:t>
      </w:r>
      <w:r w:rsidR="00CE2502">
        <w:rPr>
          <w:rFonts w:ascii="Times New Roman" w:hAnsi="Times New Roman" w:cs="Times New Roman"/>
          <w:sz w:val="24"/>
          <w:szCs w:val="24"/>
        </w:rPr>
        <w:t>I</w:t>
      </w:r>
      <w:r w:rsidR="00EA7BD4">
        <w:rPr>
          <w:rFonts w:ascii="Times New Roman" w:hAnsi="Times New Roman" w:cs="Times New Roman"/>
          <w:sz w:val="24"/>
          <w:szCs w:val="24"/>
        </w:rPr>
        <w:t xml:space="preserve">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xml:space="preserve">, as the Kaplan-Meier curve is considered as </w:t>
      </w:r>
      <w:r w:rsidR="007651E4">
        <w:rPr>
          <w:rFonts w:ascii="Times New Roman" w:hAnsi="Times New Roman" w:cs="Times New Roman"/>
          <w:sz w:val="24"/>
          <w:szCs w:val="24"/>
        </w:rPr>
        <w:t>a visual illustration</w:t>
      </w:r>
      <w:r w:rsidR="0004285E">
        <w:rPr>
          <w:rFonts w:ascii="Times New Roman" w:hAnsi="Times New Roman" w:cs="Times New Roman"/>
          <w:sz w:val="24"/>
          <w:szCs w:val="24"/>
        </w:rPr>
        <w:t xml:space="preserve"> only</w:t>
      </w:r>
      <w:r w:rsidR="00EA7BD4">
        <w:rPr>
          <w:rFonts w:ascii="Times New Roman" w:hAnsi="Times New Roman" w:cs="Times New Roman"/>
          <w:sz w:val="24"/>
          <w:szCs w:val="24"/>
        </w:rPr>
        <w:t>.</w:t>
      </w:r>
    </w:p>
    <w:p w14:paraId="429ACF53" w14:textId="4FD2073D"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w:t>
      </w:r>
      <w:r w:rsidR="00910795">
        <w:rPr>
          <w:rFonts w:ascii="Times New Roman" w:hAnsi="Times New Roman" w:cs="Times New Roman"/>
          <w:sz w:val="24"/>
          <w:szCs w:val="24"/>
        </w:rPr>
        <w:t>via</w:t>
      </w:r>
      <w:r>
        <w:rPr>
          <w:rFonts w:ascii="Times New Roman" w:hAnsi="Times New Roman" w:cs="Times New Roman"/>
          <w:sz w:val="24"/>
          <w:szCs w:val="24"/>
        </w:rPr>
        <w:t xml:space="preserve">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w:t>
      </w:r>
      <w:proofErr w:type="spellStart"/>
      <w:r w:rsidR="00122FC1">
        <w:rPr>
          <w:rFonts w:ascii="Times New Roman" w:hAnsi="Times New Roman" w:cs="Times New Roman"/>
          <w:sz w:val="24"/>
          <w:szCs w:val="24"/>
        </w:rPr>
        <w:t>Kleinbaum</w:t>
      </w:r>
      <w:proofErr w:type="spellEnd"/>
      <w:r w:rsidR="00122FC1">
        <w:rPr>
          <w:rFonts w:ascii="Times New Roman" w:hAnsi="Times New Roman" w:cs="Times New Roman"/>
          <w:sz w:val="24"/>
          <w:szCs w:val="24"/>
        </w:rPr>
        <w:t xml:space="preserve"> &amp; Klein, 2012, p. 54)</w:t>
      </w:r>
      <w:r>
        <w:rPr>
          <w:rFonts w:ascii="Times New Roman" w:hAnsi="Times New Roman" w:cs="Times New Roman"/>
          <w:sz w:val="24"/>
          <w:szCs w:val="24"/>
        </w:rPr>
        <w:t xml:space="preserve">.  </w:t>
      </w:r>
      <w:r w:rsidR="00863742">
        <w:rPr>
          <w:rFonts w:ascii="Times New Roman" w:hAnsi="Times New Roman" w:cs="Times New Roman"/>
          <w:sz w:val="24"/>
          <w:szCs w:val="24"/>
        </w:rPr>
        <w:t>The point in time can be considered a devi</w:t>
      </w:r>
      <w:r w:rsidR="00720272">
        <w:rPr>
          <w:rFonts w:ascii="Times New Roman" w:hAnsi="Times New Roman" w:cs="Times New Roman"/>
          <w:sz w:val="24"/>
          <w:szCs w:val="24"/>
        </w:rPr>
        <w:t>c</w:t>
      </w:r>
      <w:r w:rsidR="00863742">
        <w:rPr>
          <w:rFonts w:ascii="Times New Roman" w:hAnsi="Times New Roman" w:cs="Times New Roman"/>
          <w:sz w:val="24"/>
          <w:szCs w:val="24"/>
        </w:rPr>
        <w:t>e failure, for example, end of a study period, or in this case, death.</w:t>
      </w:r>
      <w:r w:rsidR="00445F24">
        <w:rPr>
          <w:rFonts w:ascii="Times New Roman" w:hAnsi="Times New Roman" w:cs="Times New Roman"/>
          <w:sz w:val="24"/>
          <w:szCs w:val="24"/>
        </w:rPr>
        <w:t xml:space="preserve">  </w:t>
      </w:r>
      <w:r>
        <w:rPr>
          <w:rFonts w:ascii="Times New Roman" w:hAnsi="Times New Roman" w:cs="Times New Roman"/>
          <w:sz w:val="24"/>
          <w:szCs w:val="24"/>
        </w:rPr>
        <w:t xml:space="preserve">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model.  </w:t>
      </w:r>
      <w:r>
        <w:rPr>
          <w:rFonts w:ascii="Times New Roman" w:hAnsi="Times New Roman" w:cs="Times New Roman"/>
          <w:sz w:val="24"/>
          <w:szCs w:val="24"/>
        </w:rPr>
        <w:t xml:space="preserve">The survival function and hazard function are related </w:t>
      </w:r>
      <w:r w:rsidR="00261640">
        <w:rPr>
          <w:rFonts w:ascii="Times New Roman" w:hAnsi="Times New Roman" w:cs="Times New Roman"/>
          <w:sz w:val="24"/>
          <w:szCs w:val="24"/>
        </w:rPr>
        <w:t xml:space="preserve">and </w:t>
      </w:r>
      <w:r>
        <w:rPr>
          <w:rFonts w:ascii="Times New Roman" w:hAnsi="Times New Roman" w:cs="Times New Roman"/>
          <w:sz w:val="24"/>
          <w:szCs w:val="24"/>
        </w:rPr>
        <w:t>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r w:rsidR="00A7250D">
        <w:rPr>
          <w:rFonts w:ascii="Times New Roman" w:hAnsi="Times New Roman" w:cs="Times New Roman"/>
          <w:sz w:val="24"/>
          <w:szCs w:val="24"/>
        </w:rPr>
        <w:t xml:space="preserve"> which means they are inversely proportional.</w:t>
      </w:r>
    </w:p>
    <w:p w14:paraId="587E5058" w14:textId="1DC50DC4"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xml:space="preserve">, </w:t>
      </w:r>
      <w:r w:rsidR="002646AA">
        <w:rPr>
          <w:rFonts w:ascii="Times New Roman" w:hAnsi="Times New Roman" w:cs="Times New Roman"/>
          <w:sz w:val="24"/>
          <w:szCs w:val="24"/>
        </w:rPr>
        <w:t>notated</w:t>
      </w:r>
      <w:r w:rsidR="007040D3">
        <w:rPr>
          <w:rFonts w:ascii="Times New Roman" w:hAnsi="Times New Roman" w:cs="Times New Roman"/>
          <w:sz w:val="24"/>
          <w:szCs w:val="24"/>
        </w:rPr>
        <w:t xml:space="preserve"> in Figure </w:t>
      </w:r>
      <w:r w:rsidR="00661C19">
        <w:rPr>
          <w:rFonts w:ascii="Times New Roman" w:hAnsi="Times New Roman" w:cs="Times New Roman"/>
          <w:sz w:val="24"/>
          <w:szCs w:val="24"/>
        </w:rPr>
        <w:t>1</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0F6082DE" w:rsidR="00D60DB0" w:rsidRPr="007040D3" w:rsidRDefault="00D60DB0" w:rsidP="007040D3">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1</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0F6082DE" w:rsidR="00D60DB0" w:rsidRPr="007040D3" w:rsidRDefault="00D60DB0" w:rsidP="007040D3">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1</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w:t>
      </w:r>
      <w:proofErr w:type="gramStart"/>
      <w:r w:rsidR="007040D3" w:rsidRPr="007040D3">
        <w:rPr>
          <w:rFonts w:ascii="Times New Roman" w:hAnsi="Times New Roman" w:cs="Times New Roman"/>
          <w:i/>
          <w:iCs/>
          <w:sz w:val="32"/>
          <w:szCs w:val="32"/>
        </w:rPr>
        <w:t>P(</w:t>
      </w:r>
      <w:proofErr w:type="gramEnd"/>
      <w:r w:rsidR="007040D3" w:rsidRPr="007040D3">
        <w:rPr>
          <w:rFonts w:ascii="Times New Roman" w:hAnsi="Times New Roman" w:cs="Times New Roman"/>
          <w:i/>
          <w:iCs/>
          <w:sz w:val="32"/>
          <w:szCs w:val="32"/>
        </w:rPr>
        <w:t xml:space="preserve">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5EF5CB4E"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w:t>
      </w:r>
      <w:r w:rsidR="00661C19">
        <w:rPr>
          <w:rFonts w:ascii="Times New Roman" w:hAnsi="Times New Roman" w:cs="Times New Roman"/>
          <w:sz w:val="24"/>
          <w:szCs w:val="24"/>
        </w:rPr>
        <w:t>1</w:t>
      </w:r>
      <w:r>
        <w:rPr>
          <w:rFonts w:ascii="Times New Roman" w:hAnsi="Times New Roman" w:cs="Times New Roman"/>
          <w:sz w:val="24"/>
          <w:szCs w:val="24"/>
        </w:rPr>
        <w:t xml:space="preserve"> represents that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t>
      </w:r>
      <w:r w:rsidR="00B85FC6">
        <w:rPr>
          <w:rFonts w:ascii="Times New Roman" w:hAnsi="Times New Roman" w:cs="Times New Roman"/>
          <w:sz w:val="24"/>
          <w:szCs w:val="24"/>
        </w:rPr>
        <w:lastRenderedPageBreak/>
        <w:t>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the integral of the probability 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w:t>
      </w:r>
      <w:r w:rsidR="00661C19">
        <w:rPr>
          <w:rFonts w:ascii="Times New Roman" w:hAnsi="Times New Roman" w:cs="Times New Roman"/>
          <w:sz w:val="24"/>
          <w:szCs w:val="24"/>
        </w:rPr>
        <w:t>2</w:t>
      </w:r>
      <w:r w:rsidR="005E7CEF">
        <w:rPr>
          <w:rFonts w:ascii="Times New Roman" w:hAnsi="Times New Roman" w:cs="Times New Roman"/>
          <w:sz w:val="24"/>
          <w:szCs w:val="24"/>
        </w:rPr>
        <w:t xml:space="preserve"> (</w:t>
      </w:r>
      <w:r w:rsidR="008736C9">
        <w:rPr>
          <w:rFonts w:ascii="Times New Roman" w:hAnsi="Times New Roman" w:cs="Times New Roman"/>
          <w:sz w:val="24"/>
          <w:szCs w:val="24"/>
        </w:rPr>
        <w:t>Cox, 1972</w:t>
      </w:r>
      <w:r w:rsidR="005E7CEF">
        <w:rPr>
          <w:rFonts w:ascii="Times New Roman" w:hAnsi="Times New Roman" w:cs="Times New Roman"/>
          <w:sz w:val="24"/>
          <w:szCs w:val="24"/>
        </w:rPr>
        <w:t>)</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169963E1" w:rsidR="00D60DB0" w:rsidRPr="007040D3" w:rsidRDefault="00D60DB0" w:rsidP="002A7648">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169963E1" w:rsidR="00D60DB0" w:rsidRPr="007040D3" w:rsidRDefault="00D60DB0" w:rsidP="002A7648">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 xml:space="preserve">S(t) = </w:t>
      </w:r>
      <w:proofErr w:type="gramStart"/>
      <w:r w:rsidRPr="007F739F">
        <w:rPr>
          <w:rFonts w:ascii="Times New Roman" w:hAnsi="Times New Roman" w:cs="Times New Roman"/>
          <w:i/>
          <w:iCs/>
          <w:sz w:val="32"/>
          <w:szCs w:val="32"/>
        </w:rPr>
        <w:t>P(</w:t>
      </w:r>
      <w:proofErr w:type="gramEnd"/>
      <w:r w:rsidRPr="007F739F">
        <w:rPr>
          <w:rFonts w:ascii="Times New Roman" w:hAnsi="Times New Roman" w:cs="Times New Roman"/>
          <w:i/>
          <w:iCs/>
          <w:sz w:val="32"/>
          <w:szCs w:val="32"/>
        </w:rPr>
        <w:t>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50FDEEDA"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also define the survival function as the probability that one or more events take place after time </w:t>
      </w:r>
      <w:r w:rsidR="009B77A4" w:rsidRPr="009B77A4">
        <w:rPr>
          <w:rFonts w:ascii="Times New Roman" w:hAnsi="Times New Roman" w:cs="Times New Roman"/>
          <w:i/>
          <w:iCs/>
          <w:sz w:val="24"/>
          <w:szCs w:val="24"/>
        </w:rPr>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5C4FE9">
        <w:rPr>
          <w:rFonts w:ascii="Times New Roman" w:hAnsi="Times New Roman" w:cs="Times New Roman"/>
          <w:sz w:val="24"/>
          <w:szCs w:val="24"/>
        </w:rPr>
        <w:t>;</w:t>
      </w:r>
      <w:r w:rsidR="00093C51">
        <w:rPr>
          <w:rFonts w:ascii="Times New Roman" w:hAnsi="Times New Roman" w:cs="Times New Roman"/>
          <w:sz w:val="24"/>
          <w:szCs w:val="24"/>
        </w:rPr>
        <w:t xml:space="preserve"> Cox, 1972</w:t>
      </w:r>
      <w:r w:rsidR="004B1F82">
        <w:rPr>
          <w:rFonts w:ascii="Times New Roman" w:hAnsi="Times New Roman" w:cs="Times New Roman"/>
          <w:sz w:val="24"/>
          <w:szCs w:val="24"/>
        </w:rPr>
        <w:t>)</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w:t>
      </w:r>
      <w:r w:rsidR="001E35CC">
        <w:rPr>
          <w:rFonts w:ascii="Times New Roman" w:hAnsi="Times New Roman" w:cs="Times New Roman"/>
          <w:sz w:val="24"/>
          <w:szCs w:val="24"/>
        </w:rPr>
        <w:t>Once</w:t>
      </w:r>
      <w:r w:rsidR="006A60E5">
        <w:rPr>
          <w:rFonts w:ascii="Times New Roman" w:hAnsi="Times New Roman" w:cs="Times New Roman"/>
          <w:sz w:val="24"/>
          <w:szCs w:val="24"/>
        </w:rPr>
        <w:t xml:space="preserve"> probabilities have been obtained, statistical significance needs to be examined through log-rank testing.</w:t>
      </w:r>
    </w:p>
    <w:p w14:paraId="617587CB" w14:textId="3950DE88" w:rsidR="00F04D6B"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w:t>
      </w:r>
      <w:r w:rsidR="003B025B">
        <w:rPr>
          <w:rFonts w:ascii="Times New Roman" w:hAnsi="Times New Roman" w:cs="Times New Roman"/>
          <w:iCs/>
          <w:sz w:val="24"/>
          <w:szCs w:val="24"/>
        </w:rPr>
        <w:t>showing the number of deaths</w:t>
      </w:r>
      <w:r w:rsidR="00FC41DB">
        <w:rPr>
          <w:rFonts w:ascii="Times New Roman" w:hAnsi="Times New Roman" w:cs="Times New Roman"/>
          <w:iCs/>
          <w:sz w:val="24"/>
          <w:szCs w:val="24"/>
        </w:rPr>
        <w:t xml:space="preserve"> (event), </w:t>
      </w:r>
      <w:r w:rsidR="00FC41DB" w:rsidRPr="00FC41DB">
        <w:rPr>
          <w:rFonts w:ascii="Times New Roman" w:hAnsi="Times New Roman" w:cs="Times New Roman"/>
          <w:i/>
          <w:sz w:val="24"/>
          <w:szCs w:val="24"/>
        </w:rPr>
        <w:t>d</w:t>
      </w:r>
      <w:r w:rsidR="003B025B">
        <w:rPr>
          <w:rFonts w:ascii="Times New Roman" w:hAnsi="Times New Roman" w:cs="Times New Roman"/>
          <w:iCs/>
          <w:sz w:val="24"/>
          <w:szCs w:val="24"/>
        </w:rPr>
        <w:t>, number of subjects alive, and total number of subjects.  This is completed at every death even</w:t>
      </w:r>
      <w:r w:rsidR="003D163D">
        <w:rPr>
          <w:rFonts w:ascii="Times New Roman" w:hAnsi="Times New Roman" w:cs="Times New Roman"/>
          <w:iCs/>
          <w:sz w:val="24"/>
          <w:szCs w:val="24"/>
        </w:rPr>
        <w:t xml:space="preserve">t and the </w:t>
      </w:r>
      <w:r w:rsidR="00FC41DB">
        <w:rPr>
          <w:rFonts w:ascii="Times New Roman" w:hAnsi="Times New Roman" w:cs="Times New Roman"/>
          <w:iCs/>
          <w:sz w:val="24"/>
          <w:szCs w:val="24"/>
        </w:rPr>
        <w:t>observations</w:t>
      </w:r>
      <w:r w:rsidR="003D163D">
        <w:rPr>
          <w:rFonts w:ascii="Times New Roman" w:hAnsi="Times New Roman" w:cs="Times New Roman"/>
          <w:iCs/>
          <w:sz w:val="24"/>
          <w:szCs w:val="24"/>
        </w:rPr>
        <w:t xml:space="preserve"> are treated as independent events.</w:t>
      </w:r>
      <w:r w:rsidR="004E42A5">
        <w:rPr>
          <w:rFonts w:ascii="Times New Roman" w:hAnsi="Times New Roman" w:cs="Times New Roman"/>
          <w:iCs/>
          <w:sz w:val="24"/>
          <w:szCs w:val="24"/>
        </w:rPr>
        <w:t xml:space="preserve">  This procedure is known as the Mantel-Haenszel </w:t>
      </w:r>
      <w:r w:rsidR="00584E0C">
        <w:rPr>
          <w:rFonts w:ascii="Times New Roman" w:hAnsi="Times New Roman" w:cs="Times New Roman"/>
          <w:iCs/>
          <w:sz w:val="24"/>
          <w:szCs w:val="24"/>
        </w:rPr>
        <w:t xml:space="preserve">time-stratified </w:t>
      </w:r>
      <w:r w:rsidR="004E42A5">
        <w:rPr>
          <w:rFonts w:ascii="Times New Roman" w:hAnsi="Times New Roman" w:cs="Times New Roman"/>
          <w:iCs/>
          <w:sz w:val="24"/>
          <w:szCs w:val="24"/>
        </w:rPr>
        <w:t xml:space="preserve">procedure </w:t>
      </w:r>
      <w:r w:rsidR="004E42A5">
        <w:rPr>
          <w:rFonts w:ascii="Times New Roman" w:hAnsi="Times New Roman" w:cs="Times New Roman"/>
          <w:sz w:val="24"/>
          <w:szCs w:val="24"/>
        </w:rPr>
        <w:t>(Collet, 2015, p. 47</w:t>
      </w:r>
      <w:r w:rsidR="00F474EA">
        <w:rPr>
          <w:rFonts w:ascii="Times New Roman" w:hAnsi="Times New Roman" w:cs="Times New Roman"/>
          <w:sz w:val="24"/>
          <w:szCs w:val="24"/>
        </w:rPr>
        <w:t>; Mantel &amp; Haenszel, 1959</w:t>
      </w:r>
      <w:r w:rsidR="004E42A5">
        <w:rPr>
          <w:rFonts w:ascii="Times New Roman" w:hAnsi="Times New Roman" w:cs="Times New Roman"/>
          <w:sz w:val="24"/>
          <w:szCs w:val="24"/>
        </w:rPr>
        <w:t>).</w:t>
      </w:r>
      <w:r w:rsidR="008E3FA4">
        <w:rPr>
          <w:rFonts w:ascii="Times New Roman" w:hAnsi="Times New Roman" w:cs="Times New Roman"/>
          <w:sz w:val="24"/>
          <w:szCs w:val="24"/>
        </w:rPr>
        <w:t xml:space="preserve">  This procedure gives the (relative) risk ratio (RR).  The</w:t>
      </w:r>
      <w:r w:rsidR="00356C07">
        <w:rPr>
          <w:rFonts w:ascii="Times New Roman" w:hAnsi="Times New Roman" w:cs="Times New Roman"/>
          <w:sz w:val="24"/>
          <w:szCs w:val="24"/>
        </w:rPr>
        <w:t xml:space="preserve"> RR is defined by the equation in Figure </w:t>
      </w:r>
      <w:r w:rsidR="00661C19">
        <w:rPr>
          <w:rFonts w:ascii="Times New Roman" w:hAnsi="Times New Roman" w:cs="Times New Roman"/>
          <w:sz w:val="24"/>
          <w:szCs w:val="24"/>
        </w:rPr>
        <w:t>3</w:t>
      </w:r>
      <w:r w:rsidR="00356C07">
        <w:rPr>
          <w:rFonts w:ascii="Times New Roman" w:hAnsi="Times New Roman" w:cs="Times New Roman"/>
          <w:sz w:val="24"/>
          <w:szCs w:val="24"/>
        </w:rPr>
        <w:t>.</w:t>
      </w:r>
    </w:p>
    <w:p w14:paraId="7C062C2E" w14:textId="205FC6AE" w:rsidR="00356C07" w:rsidRPr="00D42F50" w:rsidRDefault="00356C07" w:rsidP="00356C07">
      <w:pPr>
        <w:spacing w:line="240" w:lineRule="auto"/>
        <w:jc w:val="center"/>
        <w:rPr>
          <w:rFonts w:ascii="Times New Roman" w:hAnsi="Times New Roman" w:cs="Times New Roman"/>
          <w:i/>
          <w:iCs/>
          <w:sz w:val="36"/>
          <w:szCs w:val="36"/>
        </w:rPr>
      </w:pPr>
      <w:r w:rsidRPr="00D42F50">
        <w:rPr>
          <w:rFonts w:ascii="Times New Roman" w:hAnsi="Times New Roman" w:cs="Times New Roman"/>
          <w:i/>
          <w:iCs/>
          <w:sz w:val="32"/>
          <w:szCs w:val="32"/>
        </w:rPr>
        <w:t>RR =</w:t>
      </w:r>
      <w:r>
        <w:rPr>
          <w:rFonts w:ascii="Times New Roman" w:hAnsi="Times New Roman" w:cs="Times New Roman"/>
          <w:i/>
          <w:iCs/>
          <w:sz w:val="32"/>
          <w:szCs w:val="32"/>
        </w:rPr>
        <w:t xml:space="preserve"> </w:t>
      </w:r>
      <w:r w:rsidRPr="00D42F50">
        <w:rPr>
          <w:rFonts w:ascii="Times New Roman" w:hAnsi="Times New Roman" w:cs="Times New Roman"/>
          <w:i/>
          <w:iCs/>
          <w:sz w:val="36"/>
          <w:szCs w:val="36"/>
          <w:u w:val="single"/>
        </w:rPr>
        <w:t>a</w:t>
      </w:r>
      <w:r w:rsidRPr="00D42F50">
        <w:rPr>
          <w:rFonts w:ascii="Times New Roman" w:hAnsi="Times New Roman" w:cs="Times New Roman"/>
          <w:i/>
          <w:iCs/>
          <w:sz w:val="36"/>
          <w:szCs w:val="36"/>
          <w:u w:val="single"/>
          <w:vertAlign w:val="subscript"/>
        </w:rPr>
        <w:t>i</w:t>
      </w:r>
      <w:r w:rsidR="00643439">
        <w:rPr>
          <w:rFonts w:ascii="Times New Roman" w:hAnsi="Times New Roman" w:cs="Times New Roman"/>
          <w:i/>
          <w:iCs/>
          <w:sz w:val="36"/>
          <w:szCs w:val="36"/>
          <w:u w:val="single"/>
          <w:vertAlign w:val="subscript"/>
        </w:rPr>
        <w:t xml:space="preserve"> </w:t>
      </w:r>
      <w:r w:rsidRPr="00D42F50">
        <w:rPr>
          <w:rFonts w:ascii="Times New Roman" w:hAnsi="Times New Roman" w:cs="Times New Roman"/>
          <w:i/>
          <w:iCs/>
          <w:sz w:val="36"/>
          <w:szCs w:val="36"/>
          <w:u w:val="single"/>
        </w:rPr>
        <w:t xml:space="preserve">/ </w:t>
      </w:r>
      <w:proofErr w:type="spellStart"/>
      <w:r w:rsidRPr="00D42F50">
        <w:rPr>
          <w:rFonts w:ascii="Times New Roman" w:hAnsi="Times New Roman" w:cs="Times New Roman"/>
          <w:i/>
          <w:iCs/>
          <w:sz w:val="36"/>
          <w:szCs w:val="36"/>
          <w:u w:val="single"/>
        </w:rPr>
        <w:t>n</w:t>
      </w:r>
      <w:r w:rsidR="00643439" w:rsidRPr="00643439">
        <w:rPr>
          <w:rFonts w:ascii="Times New Roman" w:hAnsi="Times New Roman" w:cs="Times New Roman"/>
          <w:i/>
          <w:iCs/>
          <w:sz w:val="36"/>
          <w:szCs w:val="36"/>
          <w:u w:val="single"/>
          <w:vertAlign w:val="subscript"/>
        </w:rPr>
        <w:t>a</w:t>
      </w:r>
      <w:proofErr w:type="spellEnd"/>
      <w:r w:rsidRPr="00D42F50">
        <w:rPr>
          <w:rFonts w:ascii="Times New Roman" w:hAnsi="Times New Roman" w:cs="Times New Roman"/>
          <w:i/>
          <w:iCs/>
          <w:sz w:val="36"/>
          <w:szCs w:val="36"/>
          <w:u w:val="single"/>
        </w:rPr>
        <w:br/>
      </w:r>
      <w:r w:rsidR="00D42F50" w:rsidRPr="00D42F50">
        <w:rPr>
          <w:rFonts w:ascii="Times New Roman" w:hAnsi="Times New Roman" w:cs="Times New Roman"/>
          <w:i/>
          <w:iCs/>
          <w:sz w:val="36"/>
          <w:szCs w:val="36"/>
        </w:rPr>
        <w:t xml:space="preserve">       </w:t>
      </w:r>
      <w:r w:rsidRPr="00D42F50">
        <w:rPr>
          <w:rFonts w:ascii="Times New Roman" w:hAnsi="Times New Roman" w:cs="Times New Roman"/>
          <w:i/>
          <w:iCs/>
          <w:sz w:val="36"/>
          <w:szCs w:val="36"/>
        </w:rPr>
        <w:t>b</w:t>
      </w:r>
      <w:r w:rsidRPr="00D42F50">
        <w:rPr>
          <w:rFonts w:ascii="Times New Roman" w:hAnsi="Times New Roman" w:cs="Times New Roman"/>
          <w:i/>
          <w:iCs/>
          <w:sz w:val="36"/>
          <w:szCs w:val="36"/>
          <w:vertAlign w:val="subscript"/>
        </w:rPr>
        <w:t>i</w:t>
      </w:r>
      <w:r w:rsidR="00643439">
        <w:rPr>
          <w:rFonts w:ascii="Times New Roman" w:hAnsi="Times New Roman" w:cs="Times New Roman"/>
          <w:i/>
          <w:iCs/>
          <w:sz w:val="36"/>
          <w:szCs w:val="36"/>
          <w:vertAlign w:val="subscript"/>
        </w:rPr>
        <w:t xml:space="preserve"> </w:t>
      </w:r>
      <w:r w:rsidR="00D42F50" w:rsidRPr="00D42F50">
        <w:rPr>
          <w:rFonts w:ascii="Times New Roman" w:hAnsi="Times New Roman" w:cs="Times New Roman"/>
          <w:i/>
          <w:iCs/>
          <w:sz w:val="36"/>
          <w:szCs w:val="36"/>
        </w:rPr>
        <w:t xml:space="preserve">/ </w:t>
      </w:r>
      <w:proofErr w:type="spellStart"/>
      <w:r w:rsidR="00D42F50" w:rsidRPr="00D42F50">
        <w:rPr>
          <w:rFonts w:ascii="Times New Roman" w:hAnsi="Times New Roman" w:cs="Times New Roman"/>
          <w:i/>
          <w:iCs/>
          <w:sz w:val="36"/>
          <w:szCs w:val="36"/>
        </w:rPr>
        <w:t>n</w:t>
      </w:r>
      <w:r w:rsidR="00643439" w:rsidRPr="00643439">
        <w:rPr>
          <w:rFonts w:ascii="Times New Roman" w:hAnsi="Times New Roman" w:cs="Times New Roman"/>
          <w:i/>
          <w:iCs/>
          <w:sz w:val="36"/>
          <w:szCs w:val="36"/>
          <w:vertAlign w:val="subscript"/>
        </w:rPr>
        <w:t>b</w:t>
      </w:r>
      <w:proofErr w:type="spellEnd"/>
    </w:p>
    <w:p w14:paraId="6B835D28" w14:textId="6E5670BA" w:rsidR="00356C07" w:rsidRDefault="00356C07" w:rsidP="007F739F">
      <w:pPr>
        <w:spacing w:line="480" w:lineRule="auto"/>
        <w:rPr>
          <w:rFonts w:ascii="Times New Roman" w:hAnsi="Times New Roman" w:cs="Times New Roman"/>
          <w:iCs/>
          <w:sz w:val="24"/>
          <w:szCs w:val="24"/>
        </w:rPr>
      </w:pPr>
      <w:r w:rsidRPr="001A5C47">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0A2943D1" wp14:editId="016B868E">
                <wp:simplePos x="0" y="0"/>
                <wp:positionH relativeFrom="margin">
                  <wp:align>center</wp:align>
                </wp:positionH>
                <wp:positionV relativeFrom="paragraph">
                  <wp:posOffset>16510</wp:posOffset>
                </wp:positionV>
                <wp:extent cx="2397760" cy="276225"/>
                <wp:effectExtent l="0" t="0" r="2159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48F3074F" w14:textId="39DF101D" w:rsidR="00356C07" w:rsidRPr="007040D3" w:rsidRDefault="00356C07" w:rsidP="00356C07">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3D1" id="Text Box 21" o:spid="_x0000_s1028" type="#_x0000_t202" style="position:absolute;margin-left:0;margin-top:1.3pt;width:188.8pt;height:21.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">
                <v:textbox>
                  <w:txbxContent>
                    <w:p w14:paraId="48F3074F" w14:textId="39DF101D" w:rsidR="00356C07" w:rsidRPr="007040D3" w:rsidRDefault="00356C07" w:rsidP="00356C07">
                      <w:pPr>
                        <w:jc w:val="center"/>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v:textbox>
                <w10:wrap type="square" anchorx="margin"/>
              </v:shape>
            </w:pict>
          </mc:Fallback>
        </mc:AlternateContent>
      </w:r>
    </w:p>
    <w:p w14:paraId="6517E9DF" w14:textId="21A03ADB" w:rsidR="003E42BC" w:rsidRPr="00FE1434" w:rsidRDefault="003E42BC" w:rsidP="00F04D6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The variable a</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of events for stratified group </w:t>
      </w:r>
      <w:r w:rsidRPr="003E42BC">
        <w:rPr>
          <w:rFonts w:ascii="Times New Roman" w:hAnsi="Times New Roman" w:cs="Times New Roman"/>
          <w:i/>
          <w:sz w:val="24"/>
          <w:szCs w:val="24"/>
        </w:rPr>
        <w:t>a</w:t>
      </w:r>
      <w:r>
        <w:rPr>
          <w:rFonts w:ascii="Times New Roman" w:hAnsi="Times New Roman" w:cs="Times New Roman"/>
          <w:iCs/>
          <w:sz w:val="24"/>
          <w:szCs w:val="24"/>
        </w:rPr>
        <w:t xml:space="preserve"> while the variable b</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events for stratified group </w:t>
      </w:r>
      <w:r w:rsidRPr="003E42BC">
        <w:rPr>
          <w:rFonts w:ascii="Times New Roman" w:hAnsi="Times New Roman" w:cs="Times New Roman"/>
          <w:i/>
          <w:sz w:val="24"/>
          <w:szCs w:val="24"/>
        </w:rPr>
        <w:t>b</w:t>
      </w:r>
      <w:r>
        <w:rPr>
          <w:rFonts w:ascii="Times New Roman" w:hAnsi="Times New Roman" w:cs="Times New Roman"/>
          <w:iCs/>
          <w:sz w:val="24"/>
          <w:szCs w:val="24"/>
        </w:rPr>
        <w:t>.</w:t>
      </w:r>
      <w:r w:rsidR="00643439">
        <w:rPr>
          <w:rFonts w:ascii="Times New Roman" w:hAnsi="Times New Roman" w:cs="Times New Roman"/>
          <w:iCs/>
          <w:sz w:val="24"/>
          <w:szCs w:val="24"/>
        </w:rPr>
        <w:t xml:space="preserve">  The variable </w:t>
      </w:r>
      <w:r w:rsidR="00643439" w:rsidRPr="00643439">
        <w:rPr>
          <w:rFonts w:ascii="Times New Roman" w:hAnsi="Times New Roman" w:cs="Times New Roman"/>
          <w:i/>
          <w:sz w:val="24"/>
          <w:szCs w:val="24"/>
        </w:rPr>
        <w:t>n</w:t>
      </w:r>
      <w:r w:rsidR="00643439">
        <w:rPr>
          <w:rFonts w:ascii="Times New Roman" w:hAnsi="Times New Roman" w:cs="Times New Roman"/>
          <w:iCs/>
          <w:sz w:val="24"/>
          <w:szCs w:val="24"/>
        </w:rPr>
        <w:t xml:space="preserve"> is the total population of each group as defined by the subscript.  This equation gives the relative risk of one outcome group compared to another.  For example, if group </w:t>
      </w:r>
      <w:r w:rsidR="00643439" w:rsidRPr="00643439">
        <w:rPr>
          <w:rFonts w:ascii="Times New Roman" w:hAnsi="Times New Roman" w:cs="Times New Roman"/>
          <w:i/>
          <w:sz w:val="24"/>
          <w:szCs w:val="24"/>
        </w:rPr>
        <w:t>a</w:t>
      </w:r>
      <w:r w:rsidR="00643439">
        <w:rPr>
          <w:rFonts w:ascii="Times New Roman" w:hAnsi="Times New Roman" w:cs="Times New Roman"/>
          <w:iCs/>
          <w:sz w:val="24"/>
          <w:szCs w:val="24"/>
        </w:rPr>
        <w:t xml:space="preserve"> was calculated with an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i</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a</w:t>
      </w:r>
      <w:proofErr w:type="spellEnd"/>
      <w:r w:rsidR="00643439">
        <w:rPr>
          <w:rFonts w:ascii="Times New Roman" w:hAnsi="Times New Roman" w:cs="Times New Roman"/>
          <w:i/>
          <w:sz w:val="24"/>
          <w:szCs w:val="24"/>
          <w:vertAlign w:val="subscript"/>
        </w:rPr>
        <w:t xml:space="preserve"> </w:t>
      </w:r>
      <w:r w:rsidR="00643439">
        <w:rPr>
          <w:rFonts w:ascii="Times New Roman" w:hAnsi="Times New Roman" w:cs="Times New Roman"/>
          <w:i/>
          <w:sz w:val="24"/>
          <w:szCs w:val="24"/>
        </w:rPr>
        <w:t xml:space="preserve">= </w:t>
      </w:r>
      <w:r w:rsidR="00643439">
        <w:rPr>
          <w:rFonts w:ascii="Times New Roman" w:hAnsi="Times New Roman" w:cs="Times New Roman"/>
          <w:iCs/>
          <w:sz w:val="24"/>
          <w:szCs w:val="24"/>
        </w:rPr>
        <w:t xml:space="preserve">0.1 as the numerator and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b</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b</w:t>
      </w:r>
      <w:proofErr w:type="spellEnd"/>
      <w:r w:rsidR="00643439">
        <w:rPr>
          <w:rFonts w:ascii="Times New Roman" w:hAnsi="Times New Roman" w:cs="Times New Roman"/>
          <w:i/>
          <w:sz w:val="24"/>
          <w:szCs w:val="24"/>
        </w:rPr>
        <w:t xml:space="preserve"> = </w:t>
      </w:r>
      <w:r w:rsidR="00643439">
        <w:rPr>
          <w:rFonts w:ascii="Times New Roman" w:hAnsi="Times New Roman" w:cs="Times New Roman"/>
          <w:iCs/>
          <w:sz w:val="24"/>
          <w:szCs w:val="24"/>
        </w:rPr>
        <w:t xml:space="preserve">0.07 then the RR would equal 1.43.  This translates to </w:t>
      </w:r>
      <w:r w:rsidR="00FE1434">
        <w:rPr>
          <w:rFonts w:ascii="Times New Roman" w:hAnsi="Times New Roman" w:cs="Times New Roman"/>
          <w:iCs/>
          <w:sz w:val="24"/>
          <w:szCs w:val="24"/>
        </w:rPr>
        <w:t xml:space="preserve">group </w:t>
      </w:r>
      <w:r w:rsidR="00FE1434" w:rsidRPr="00FE1434">
        <w:rPr>
          <w:rFonts w:ascii="Times New Roman" w:hAnsi="Times New Roman" w:cs="Times New Roman"/>
          <w:i/>
          <w:sz w:val="24"/>
          <w:szCs w:val="24"/>
        </w:rPr>
        <w:t>a</w:t>
      </w:r>
      <w:r w:rsidR="00FE1434">
        <w:rPr>
          <w:rFonts w:ascii="Times New Roman" w:hAnsi="Times New Roman" w:cs="Times New Roman"/>
          <w:iCs/>
          <w:sz w:val="24"/>
          <w:szCs w:val="24"/>
        </w:rPr>
        <w:t xml:space="preserve"> having a </w:t>
      </w:r>
      <w:r w:rsidR="007D70C8">
        <w:rPr>
          <w:rFonts w:ascii="Times New Roman" w:hAnsi="Times New Roman" w:cs="Times New Roman"/>
          <w:iCs/>
          <w:sz w:val="24"/>
          <w:szCs w:val="24"/>
        </w:rPr>
        <w:t>58</w:t>
      </w:r>
      <w:r w:rsidR="00FE1434">
        <w:rPr>
          <w:rFonts w:ascii="Times New Roman" w:hAnsi="Times New Roman" w:cs="Times New Roman"/>
          <w:iCs/>
          <w:sz w:val="24"/>
          <w:szCs w:val="24"/>
        </w:rPr>
        <w:t>% chance of the event</w:t>
      </w:r>
      <w:r w:rsidR="007D70C8">
        <w:rPr>
          <w:rFonts w:ascii="Times New Roman" w:hAnsi="Times New Roman" w:cs="Times New Roman"/>
          <w:iCs/>
          <w:sz w:val="24"/>
          <w:szCs w:val="24"/>
        </w:rPr>
        <w:t xml:space="preserve"> when compared to someone without or with a different stratification</w:t>
      </w:r>
      <w:r w:rsidR="00FE1434">
        <w:rPr>
          <w:rFonts w:ascii="Times New Roman" w:hAnsi="Times New Roman" w:cs="Times New Roman"/>
          <w:iCs/>
          <w:sz w:val="24"/>
          <w:szCs w:val="24"/>
        </w:rPr>
        <w:t>.</w:t>
      </w:r>
      <w:r w:rsidR="00400634">
        <w:rPr>
          <w:rFonts w:ascii="Times New Roman" w:hAnsi="Times New Roman" w:cs="Times New Roman"/>
          <w:iCs/>
          <w:sz w:val="24"/>
          <w:szCs w:val="24"/>
        </w:rPr>
        <w:t xml:space="preserve">  The next step is to make sure this ratio is statistically significant.</w:t>
      </w:r>
      <w:r w:rsidR="0069661A">
        <w:rPr>
          <w:rFonts w:ascii="Times New Roman" w:hAnsi="Times New Roman" w:cs="Times New Roman"/>
          <w:iCs/>
          <w:sz w:val="24"/>
          <w:szCs w:val="24"/>
        </w:rPr>
        <w:t xml:space="preserve">  However, generally it is more informative to obtain the hazard ratios which are discussed in the Cox-proportional hazard model section.</w:t>
      </w:r>
    </w:p>
    <w:p w14:paraId="722C700E" w14:textId="0B3E7F9F" w:rsidR="001A5C47" w:rsidRPr="001A5C47" w:rsidRDefault="004E42A5" w:rsidP="00F04D6B">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log-rank test will </w:t>
      </w:r>
      <w:r w:rsidR="003E42BC">
        <w:rPr>
          <w:rFonts w:ascii="Times New Roman" w:hAnsi="Times New Roman" w:cs="Times New Roman"/>
          <w:iCs/>
          <w:sz w:val="24"/>
          <w:szCs w:val="24"/>
        </w:rPr>
        <w:t xml:space="preserve">also </w:t>
      </w:r>
      <w:r>
        <w:rPr>
          <w:rFonts w:ascii="Times New Roman" w:hAnsi="Times New Roman" w:cs="Times New Roman"/>
          <w:iCs/>
          <w:sz w:val="24"/>
          <w:szCs w:val="24"/>
        </w:rPr>
        <w:t xml:space="preserve">give a probability value (p-value) for the difference between the two groups plotted on the </w:t>
      </w:r>
      <w:r>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Pr>
          <w:rFonts w:ascii="Times New Roman" w:hAnsi="Times New Roman" w:cs="Times New Roman"/>
          <w:sz w:val="24"/>
          <w:szCs w:val="24"/>
        </w:rPr>
        <w:t xml:space="preserve"> gap in survival on the Kaplan-Meier 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w:t>
      </w:r>
      <w:proofErr w:type="spellStart"/>
      <w:r w:rsidR="00896B2F">
        <w:rPr>
          <w:rFonts w:ascii="Times New Roman" w:hAnsi="Times New Roman" w:cs="Times New Roman"/>
          <w:sz w:val="24"/>
          <w:szCs w:val="24"/>
        </w:rPr>
        <w:t>Gosset</w:t>
      </w:r>
      <w:proofErr w:type="spellEnd"/>
      <w:r w:rsidR="00896B2F">
        <w:rPr>
          <w:rFonts w:ascii="Times New Roman" w:hAnsi="Times New Roman" w:cs="Times New Roman"/>
          <w:sz w:val="24"/>
          <w:szCs w:val="24"/>
        </w:rPr>
        <w:t xml:space="preserve">, 1908; </w:t>
      </w:r>
      <w:proofErr w:type="spellStart"/>
      <w:r w:rsidR="003D11E8">
        <w:rPr>
          <w:rFonts w:ascii="Times New Roman" w:hAnsi="Times New Roman" w:cs="Times New Roman"/>
          <w:sz w:val="24"/>
          <w:szCs w:val="24"/>
        </w:rPr>
        <w:t>LaMorte</w:t>
      </w:r>
      <w:proofErr w:type="spellEnd"/>
      <w:r w:rsidR="003D11E8">
        <w:rPr>
          <w:rFonts w:ascii="Times New Roman" w:hAnsi="Times New Roman" w:cs="Times New Roman"/>
          <w:sz w:val="24"/>
          <w:szCs w:val="24"/>
        </w:rPr>
        <w:t>,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test can be considered a type of one-way ANOVA for survival analysis (</w:t>
      </w:r>
      <w:r w:rsidR="001219F9">
        <w:rPr>
          <w:rFonts w:ascii="Times New Roman" w:hAnsi="Times New Roman" w:cs="Times New Roman"/>
          <w:sz w:val="24"/>
          <w:szCs w:val="24"/>
        </w:rPr>
        <w:t xml:space="preserve">Fisher, 1925; </w:t>
      </w:r>
      <w:r w:rsidR="006E25D2">
        <w:rPr>
          <w:rFonts w:ascii="Times New Roman" w:hAnsi="Times New Roman" w:cs="Times New Roman"/>
          <w:sz w:val="24"/>
          <w:szCs w:val="24"/>
        </w:rPr>
        <w:t xml:space="preserve">Grace-Martin, 2018).  </w:t>
      </w:r>
      <w:r w:rsidR="00591C1C">
        <w:rPr>
          <w:rFonts w:ascii="Times New Roman" w:hAnsi="Times New Roman" w:cs="Times New Roman"/>
          <w:sz w:val="24"/>
          <w:szCs w:val="24"/>
        </w:rPr>
        <w:t xml:space="preserve">The chi square equation is shown in </w:t>
      </w:r>
      <w:r w:rsidR="00004E37">
        <w:rPr>
          <w:rFonts w:ascii="Times New Roman" w:hAnsi="Times New Roman" w:cs="Times New Roman"/>
          <w:sz w:val="24"/>
          <w:szCs w:val="24"/>
        </w:rPr>
        <w:t>F</w:t>
      </w:r>
      <w:r w:rsidR="00591C1C">
        <w:rPr>
          <w:rFonts w:ascii="Times New Roman" w:hAnsi="Times New Roman" w:cs="Times New Roman"/>
          <w:sz w:val="24"/>
          <w:szCs w:val="24"/>
        </w:rPr>
        <w:t xml:space="preserve">igure </w:t>
      </w:r>
      <w:r w:rsidR="00661C19">
        <w:rPr>
          <w:rFonts w:ascii="Times New Roman" w:hAnsi="Times New Roman" w:cs="Times New Roman"/>
          <w:sz w:val="24"/>
          <w:szCs w:val="24"/>
        </w:rPr>
        <w:t>4</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60387493">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1D30ECB6" w:rsidR="00D60DB0" w:rsidRPr="007040D3" w:rsidRDefault="00D60DB0" w:rsidP="00591C1C">
                            <w:pPr>
                              <w:jc w:val="right"/>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9"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">
                <v:textbox>
                  <w:txbxContent>
                    <w:p w14:paraId="3358EE47" w14:textId="1D30ECB6" w:rsidR="00D60DB0" w:rsidRPr="007040D3" w:rsidRDefault="00D60DB0" w:rsidP="00591C1C">
                      <w:pPr>
                        <w:jc w:val="right"/>
                      </w:pPr>
                      <w:r w:rsidRPr="007040D3">
                        <w:rPr>
                          <w:rFonts w:ascii="Times New Roman" w:hAnsi="Times New Roman" w:cs="Times New Roman"/>
                          <w:b/>
                          <w:bCs/>
                          <w:sz w:val="24"/>
                          <w:szCs w:val="24"/>
                        </w:rPr>
                        <w:t xml:space="preserve">Figure </w:t>
                      </w:r>
                      <w:r w:rsidR="00661C19">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proofErr w:type="gramStart"/>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w:t>
      </w:r>
      <w:proofErr w:type="spellStart"/>
      <w:proofErr w:type="gramEnd"/>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proofErr w:type="spellEnd"/>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12E51785"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lastRenderedPageBreak/>
        <w:tab/>
      </w:r>
      <w:proofErr w:type="spellStart"/>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proofErr w:type="spellEnd"/>
      <w:r w:rsidR="008B52AB">
        <w:rPr>
          <w:rFonts w:ascii="Times New Roman" w:hAnsi="Times New Roman" w:cs="Times New Roman"/>
          <w:sz w:val="24"/>
          <w:szCs w:val="24"/>
        </w:rPr>
        <w:t xml:space="preserve"> represents the observed number of events for the</w:t>
      </w:r>
      <w:r w:rsidR="007D0B28">
        <w:rPr>
          <w:rFonts w:ascii="Times New Roman" w:hAnsi="Times New Roman" w:cs="Times New Roman"/>
          <w:sz w:val="24"/>
          <w:szCs w:val="24"/>
        </w:rPr>
        <w:t xml:space="preserve"> observed</w:t>
      </w:r>
      <w:r w:rsidR="008B52AB">
        <w:rPr>
          <w:rFonts w:ascii="Times New Roman" w:hAnsi="Times New Roman" w:cs="Times New Roman"/>
          <w:sz w:val="24"/>
          <w:szCs w:val="24"/>
        </w:rPr>
        <w:t xml:space="preserv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w:t>
      </w:r>
      <w:proofErr w:type="spellStart"/>
      <w:r w:rsidR="00773513">
        <w:rPr>
          <w:rFonts w:ascii="Times New Roman" w:hAnsi="Times New Roman" w:cs="Times New Roman"/>
          <w:sz w:val="24"/>
          <w:szCs w:val="24"/>
        </w:rPr>
        <w:t>LaMorte</w:t>
      </w:r>
      <w:proofErr w:type="spellEnd"/>
      <w:r w:rsidR="00773513">
        <w:rPr>
          <w:rFonts w:ascii="Times New Roman" w:hAnsi="Times New Roman" w:cs="Times New Roman"/>
          <w:sz w:val="24"/>
          <w:szCs w:val="24"/>
        </w:rPr>
        <w:t>, 2016).</w:t>
      </w:r>
      <w:r w:rsidR="008F4441">
        <w:rPr>
          <w:rFonts w:ascii="Times New Roman" w:hAnsi="Times New Roman" w:cs="Times New Roman"/>
          <w:sz w:val="24"/>
          <w:szCs w:val="24"/>
        </w:rPr>
        <w:t xml:space="preserve">  The chi square number for each group are the sums for the observed and expected events computed in the 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the hypothesis is considered statistically significant if the chi square value is greater than 3.84 which corresponds to being less than the alpha value of 0.05.</w:t>
      </w:r>
      <w:r w:rsidR="00A45ECF">
        <w:rPr>
          <w:rFonts w:ascii="Times New Roman" w:hAnsi="Times New Roman" w:cs="Times New Roman"/>
          <w:sz w:val="24"/>
          <w:szCs w:val="24"/>
        </w:rPr>
        <w:t xml:space="preserve">  </w:t>
      </w:r>
      <w:r w:rsidR="00DC1E2A">
        <w:rPr>
          <w:rFonts w:ascii="Times New Roman" w:hAnsi="Times New Roman" w:cs="Times New Roman"/>
          <w:sz w:val="24"/>
          <w:szCs w:val="24"/>
        </w:rPr>
        <w:t xml:space="preserve">This is the same alpha value for this </w:t>
      </w:r>
      <w:r w:rsidR="001107CF">
        <w:rPr>
          <w:rFonts w:ascii="Times New Roman" w:hAnsi="Times New Roman" w:cs="Times New Roman"/>
          <w:sz w:val="24"/>
          <w:szCs w:val="24"/>
        </w:rPr>
        <w:t>investigation</w:t>
      </w:r>
      <w:r w:rsidR="00DC1E2A">
        <w:rPr>
          <w:rFonts w:ascii="Times New Roman" w:hAnsi="Times New Roman" w:cs="Times New Roman"/>
          <w:sz w:val="24"/>
          <w:szCs w:val="24"/>
        </w:rPr>
        <w:t xml:space="preserve">.  </w:t>
      </w:r>
      <w:r w:rsidR="000B1C9B">
        <w:rPr>
          <w:rFonts w:ascii="Times New Roman" w:hAnsi="Times New Roman" w:cs="Times New Roman"/>
          <w:sz w:val="24"/>
          <w:szCs w:val="24"/>
        </w:rPr>
        <w:t>Once</w:t>
      </w:r>
      <w:r w:rsidR="00A45ECF">
        <w:rPr>
          <w:rFonts w:ascii="Times New Roman" w:hAnsi="Times New Roman" w:cs="Times New Roman"/>
          <w:sz w:val="24"/>
          <w:szCs w:val="24"/>
        </w:rPr>
        <w:t xml:space="preserve">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4FF60371"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w:t>
      </w:r>
      <w:proofErr w:type="spellStart"/>
      <w:r w:rsidR="00535AED">
        <w:rPr>
          <w:rFonts w:ascii="Times New Roman" w:hAnsi="Times New Roman" w:cs="Times New Roman"/>
          <w:sz w:val="24"/>
          <w:szCs w:val="24"/>
        </w:rPr>
        <w:t>Chilamkurthy</w:t>
      </w:r>
      <w:proofErr w:type="spellEnd"/>
      <w:r w:rsidR="00535AED">
        <w:rPr>
          <w:rFonts w:ascii="Times New Roman" w:hAnsi="Times New Roman" w:cs="Times New Roman"/>
          <w:sz w:val="24"/>
          <w:szCs w:val="24"/>
        </w:rPr>
        <w:t>, 2020</w:t>
      </w:r>
      <w:r w:rsidR="001577F9">
        <w:rPr>
          <w:rFonts w:ascii="Times New Roman" w:hAnsi="Times New Roman" w:cs="Times New Roman"/>
          <w:sz w:val="24"/>
          <w:szCs w:val="24"/>
        </w:rPr>
        <w:t>; Cox, 1972</w:t>
      </w:r>
      <w:r w:rsidR="00535AED">
        <w:rPr>
          <w:rFonts w:ascii="Times New Roman" w:hAnsi="Times New Roman" w:cs="Times New Roman"/>
          <w:sz w:val="24"/>
          <w:szCs w:val="24"/>
        </w:rPr>
        <w:t xml:space="preserve">).  </w:t>
      </w:r>
      <w:r w:rsidR="00AF0F48">
        <w:rPr>
          <w:rFonts w:ascii="Times New Roman" w:hAnsi="Times New Roman" w:cs="Times New Roman"/>
          <w:sz w:val="24"/>
          <w:szCs w:val="24"/>
        </w:rPr>
        <w:t xml:space="preserve">This modeling technique allows researchers to investigate relationships between covariates and survival time.  </w:t>
      </w:r>
      <w:r w:rsidR="006A7CD5">
        <w:rPr>
          <w:rFonts w:ascii="Times New Roman" w:hAnsi="Times New Roman" w:cs="Times New Roman"/>
          <w:sz w:val="24"/>
          <w:szCs w:val="24"/>
        </w:rPr>
        <w:t>The model</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w:t>
      </w:r>
      <w:proofErr w:type="spellStart"/>
      <w:r w:rsidR="00B36208">
        <w:rPr>
          <w:rFonts w:ascii="Times New Roman" w:hAnsi="Times New Roman" w:cs="Times New Roman"/>
          <w:sz w:val="24"/>
          <w:szCs w:val="24"/>
        </w:rPr>
        <w:t>Tibshirani</w:t>
      </w:r>
      <w:proofErr w:type="spellEnd"/>
      <w:r w:rsidR="00B36208">
        <w:rPr>
          <w:rFonts w:ascii="Times New Roman" w:hAnsi="Times New Roman" w:cs="Times New Roman"/>
          <w:sz w:val="24"/>
          <w:szCs w:val="24"/>
        </w:rPr>
        <w:t xml:space="preserve">,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 xml:space="preserve">at any point in </w:t>
      </w:r>
      <w:r w:rsidR="003A1879">
        <w:rPr>
          <w:rFonts w:ascii="Times New Roman" w:hAnsi="Times New Roman" w:cs="Times New Roman"/>
          <w:sz w:val="24"/>
          <w:szCs w:val="24"/>
        </w:rPr>
        <w:lastRenderedPageBreak/>
        <w:t>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Therefore, the Cox proportional hazard model is considered a semi-parametric model.  However, a</w:t>
      </w:r>
      <w:r w:rsidR="004C71EE">
        <w:rPr>
          <w:rFonts w:ascii="Times New Roman" w:hAnsi="Times New Roman" w:cs="Times New Roman"/>
          <w:sz w:val="24"/>
          <w:szCs w:val="24"/>
        </w:rPr>
        <w:t>ssuming a constant ratio for the hazard model is considered unrealistic in the health 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50642D">
        <w:rPr>
          <w:rFonts w:ascii="Times New Roman" w:hAnsi="Times New Roman" w:cs="Times New Roman"/>
          <w:sz w:val="24"/>
          <w:szCs w:val="24"/>
        </w:rPr>
        <w:t xml:space="preserve">; </w:t>
      </w:r>
      <w:proofErr w:type="spellStart"/>
      <w:r w:rsidR="0050642D">
        <w:rPr>
          <w:rFonts w:ascii="Times New Roman" w:hAnsi="Times New Roman" w:cs="Times New Roman"/>
          <w:sz w:val="24"/>
          <w:szCs w:val="24"/>
        </w:rPr>
        <w:t>Zweiner</w:t>
      </w:r>
      <w:proofErr w:type="spellEnd"/>
      <w:r w:rsidR="0050642D">
        <w:rPr>
          <w:rFonts w:ascii="Times New Roman" w:hAnsi="Times New Roman" w:cs="Times New Roman"/>
          <w:sz w:val="24"/>
          <w:szCs w:val="24"/>
        </w:rPr>
        <w:t xml:space="preserve"> et al., 2011</w:t>
      </w:r>
      <w:r w:rsidR="00FA6E3C">
        <w:rPr>
          <w:rFonts w:ascii="Times New Roman" w:hAnsi="Times New Roman" w:cs="Times New Roman"/>
          <w:sz w:val="24"/>
          <w:szCs w:val="24"/>
        </w:rPr>
        <w:t>)</w:t>
      </w:r>
      <w:r w:rsidR="00384830">
        <w:rPr>
          <w:rFonts w:ascii="Times New Roman" w:hAnsi="Times New Roman" w:cs="Times New Roman"/>
          <w:sz w:val="24"/>
          <w:szCs w:val="24"/>
        </w:rPr>
        <w:t>.</w:t>
      </w:r>
      <w:r w:rsidR="004E2FE1">
        <w:rPr>
          <w:rFonts w:ascii="Times New Roman" w:hAnsi="Times New Roman" w:cs="Times New Roman"/>
          <w:sz w:val="24"/>
          <w:szCs w:val="24"/>
        </w:rPr>
        <w:t xml:space="preserve">  If one were to use a parametric model such as Weibull or exponential distribution models, without knowing the distribution, then one could potentially make very inaccurate inferences; and thus, a nonparametric Cox model is used.</w:t>
      </w:r>
    </w:p>
    <w:p w14:paraId="793A5F17" w14:textId="640FC83E"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w:t>
      </w:r>
      <w:r w:rsidR="00B21E11">
        <w:rPr>
          <w:rFonts w:ascii="Times New Roman" w:hAnsi="Times New Roman" w:cs="Times New Roman"/>
          <w:sz w:val="24"/>
          <w:szCs w:val="24"/>
        </w:rPr>
        <w:t xml:space="preserve"> (Cox, 1972).</w:t>
      </w:r>
      <w:r>
        <w:rPr>
          <w:rFonts w:ascii="Times New Roman" w:hAnsi="Times New Roman" w:cs="Times New Roman"/>
          <w:sz w:val="24"/>
          <w:szCs w:val="24"/>
        </w:rPr>
        <w:t xml:space="preserve">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is that censoring does not lead to an increased or decreased likelihood of events, or rather that the censoring is non-informative.  It also assumes that survival times are independent</w:t>
      </w:r>
      <w:r w:rsidR="00535AED">
        <w:rPr>
          <w:rFonts w:ascii="Times New Roman" w:hAnsi="Times New Roman" w:cs="Times New Roman"/>
          <w:sz w:val="24"/>
          <w:szCs w:val="24"/>
        </w:rPr>
        <w:t xml:space="preserve"> which </w:t>
      </w:r>
      <w:r w:rsidR="003524ED">
        <w:rPr>
          <w:rFonts w:ascii="Times New Roman" w:hAnsi="Times New Roman" w:cs="Times New Roman"/>
          <w:sz w:val="24"/>
          <w:szCs w:val="24"/>
        </w:rPr>
        <w:t>is defined here as</w:t>
      </w:r>
      <w:r>
        <w:rPr>
          <w:rFonts w:ascii="Times New Roman" w:hAnsi="Times New Roman" w:cs="Times New Roman"/>
          <w:sz w:val="24"/>
          <w:szCs w:val="24"/>
        </w:rPr>
        <w:t xml:space="preserve"> a patient surviving is not dependent on another patient surviving or having an event.</w:t>
      </w:r>
      <w:r w:rsidR="00D24518">
        <w:rPr>
          <w:rFonts w:ascii="Times New Roman" w:hAnsi="Times New Roman" w:cs="Times New Roman"/>
          <w:sz w:val="24"/>
          <w:szCs w:val="24"/>
        </w:rPr>
        <w:t xml:space="preserve">  </w:t>
      </w:r>
      <w:r w:rsidR="00A628DB">
        <w:rPr>
          <w:rFonts w:ascii="Times New Roman" w:hAnsi="Times New Roman" w:cs="Times New Roman"/>
          <w:sz w:val="24"/>
          <w:szCs w:val="24"/>
        </w:rPr>
        <w:t>Censoring generally will affect survival curve shape primarily when many censored observations happen at a specific point in time leading to large flat lines in the survival model (</w:t>
      </w:r>
      <w:proofErr w:type="spellStart"/>
      <w:r w:rsidR="00A628DB">
        <w:rPr>
          <w:rFonts w:ascii="Times New Roman" w:hAnsi="Times New Roman" w:cs="Times New Roman"/>
          <w:sz w:val="24"/>
          <w:szCs w:val="24"/>
        </w:rPr>
        <w:t>Prinja</w:t>
      </w:r>
      <w:proofErr w:type="spellEnd"/>
      <w:r w:rsidR="00A628DB">
        <w:rPr>
          <w:rFonts w:ascii="Times New Roman" w:hAnsi="Times New Roman" w:cs="Times New Roman"/>
          <w:sz w:val="24"/>
          <w:szCs w:val="24"/>
        </w:rPr>
        <w:t xml:space="preserve"> et al., 2010).  </w:t>
      </w:r>
      <w:r w:rsidR="00D24518">
        <w:rPr>
          <w:rFonts w:ascii="Times New Roman" w:hAnsi="Times New Roman" w:cs="Times New Roman"/>
          <w:sz w:val="24"/>
          <w:szCs w:val="24"/>
        </w:rPr>
        <w:t>The Cox proportional hazard model also assumes that the baseline hazard is unspecified and that the treatment variables do not change over time</w:t>
      </w:r>
      <w:r w:rsidR="00B21E11">
        <w:rPr>
          <w:rFonts w:ascii="Times New Roman" w:hAnsi="Times New Roman" w:cs="Times New Roman"/>
          <w:sz w:val="24"/>
          <w:szCs w:val="24"/>
        </w:rPr>
        <w:t>.</w:t>
      </w:r>
      <w:r w:rsidR="00EB1F7E">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81655C">
        <w:rPr>
          <w:rFonts w:ascii="Times New Roman" w:hAnsi="Times New Roman" w:cs="Times New Roman"/>
          <w:sz w:val="24"/>
          <w:szCs w:val="24"/>
        </w:rPr>
        <w:t xml:space="preserve">;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w:t>
      </w:r>
      <w:r w:rsidR="000B4DD5">
        <w:rPr>
          <w:rFonts w:ascii="Times New Roman" w:hAnsi="Times New Roman" w:cs="Times New Roman"/>
          <w:sz w:val="24"/>
          <w:szCs w:val="24"/>
        </w:rPr>
        <w:t>)</w:t>
      </w:r>
      <w:r w:rsidR="007812DB">
        <w:rPr>
          <w:rFonts w:ascii="Times New Roman" w:hAnsi="Times New Roman" w:cs="Times New Roman"/>
          <w:sz w:val="24"/>
          <w:szCs w:val="24"/>
        </w:rPr>
        <w:t xml:space="preserve">.  </w:t>
      </w:r>
      <w:r w:rsidR="0081655C">
        <w:rPr>
          <w:rFonts w:ascii="Times New Roman" w:hAnsi="Times New Roman" w:cs="Times New Roman"/>
          <w:sz w:val="24"/>
          <w:szCs w:val="24"/>
        </w:rPr>
        <w:t xml:space="preserve">This assumption can be met by </w:t>
      </w:r>
      <w:r w:rsidR="006E0284">
        <w:rPr>
          <w:rFonts w:ascii="Times New Roman" w:hAnsi="Times New Roman" w:cs="Times New Roman"/>
          <w:sz w:val="24"/>
          <w:szCs w:val="24"/>
        </w:rPr>
        <w:t xml:space="preserve">using the </w:t>
      </w:r>
      <w:r w:rsidR="0081655C">
        <w:rPr>
          <w:rFonts w:ascii="Times New Roman" w:hAnsi="Times New Roman" w:cs="Times New Roman"/>
          <w:sz w:val="24"/>
          <w:szCs w:val="24"/>
        </w:rPr>
        <w:t>Kaplan-Meier survival curve and investigating to see if survival curves cross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  If they do not, then this assumption has been met.  </w:t>
      </w:r>
      <w:r w:rsidR="00B87E24">
        <w:rPr>
          <w:rFonts w:ascii="Times New Roman" w:hAnsi="Times New Roman" w:cs="Times New Roman"/>
          <w:sz w:val="24"/>
          <w:szCs w:val="24"/>
        </w:rPr>
        <w:t>The last assumption is that the log hazard rate is a linear function of the variables</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much like logistic regression</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where the log odds are the linear function of the variables.</w:t>
      </w:r>
    </w:p>
    <w:p w14:paraId="6DE9C6CA" w14:textId="04441432"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E6690C">
        <w:rPr>
          <w:rFonts w:ascii="Times New Roman" w:hAnsi="Times New Roman" w:cs="Times New Roman"/>
          <w:sz w:val="24"/>
          <w:szCs w:val="24"/>
        </w:rPr>
        <w:t>5</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w:lastRenderedPageBreak/>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79FB9A9C" w:rsidR="00F94060" w:rsidRPr="007040D3" w:rsidRDefault="00F94060" w:rsidP="00F94060">
                            <w:pPr>
                              <w:jc w:val="center"/>
                            </w:pPr>
                            <w:r w:rsidRPr="007040D3">
                              <w:rPr>
                                <w:rFonts w:ascii="Times New Roman" w:hAnsi="Times New Roman" w:cs="Times New Roman"/>
                                <w:b/>
                                <w:bCs/>
                                <w:sz w:val="24"/>
                                <w:szCs w:val="24"/>
                              </w:rPr>
                              <w:t xml:space="preserve">Figure </w:t>
                            </w:r>
                            <w:r w:rsidR="00E6690C">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30"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A+kmQOJQIAAE0EAAAOAAAAAAAAAAAAAAAAAC4CAABkcnMvZTJvRG9j&#10;LnhtbFBLAQItABQABgAIAAAAIQDSwBfH3gAAAAcBAAAPAAAAAAAAAAAAAAAAAH8EAABkcnMvZG93&#10;bnJldi54bWxQSwUGAAAAAAQABADzAAAAigUAAAAA&#10;">
                <v:textbox>
                  <w:txbxContent>
                    <w:p w14:paraId="489A98EE" w14:textId="79FB9A9C" w:rsidR="00F94060" w:rsidRPr="007040D3" w:rsidRDefault="00F94060" w:rsidP="00F94060">
                      <w:pPr>
                        <w:jc w:val="center"/>
                      </w:pPr>
                      <w:r w:rsidRPr="007040D3">
                        <w:rPr>
                          <w:rFonts w:ascii="Times New Roman" w:hAnsi="Times New Roman" w:cs="Times New Roman"/>
                          <w:b/>
                          <w:bCs/>
                          <w:sz w:val="24"/>
                          <w:szCs w:val="24"/>
                        </w:rPr>
                        <w:t xml:space="preserve">Figure </w:t>
                      </w:r>
                      <w:r w:rsidR="00E6690C">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5BB1EB49"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tab/>
        <w:t>The hazard function</w:t>
      </w:r>
      <w:r w:rsidR="00C113AE">
        <w:rPr>
          <w:rFonts w:ascii="Times New Roman" w:hAnsi="Times New Roman" w:cs="Times New Roman"/>
          <w:sz w:val="24"/>
          <w:szCs w:val="24"/>
        </w:rPr>
        <w:t xml:space="preserve"> also</w:t>
      </w:r>
      <w:r>
        <w:rPr>
          <w:rFonts w:ascii="Times New Roman" w:hAnsi="Times New Roman" w:cs="Times New Roman"/>
          <w:sz w:val="24"/>
          <w:szCs w:val="24"/>
        </w:rPr>
        <w:t xml:space="preserve">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00C113AE" w:rsidRPr="003E04C9">
        <w:rPr>
          <w:rFonts w:ascii="Times New Roman" w:hAnsi="Times New Roman" w:cs="Times New Roman"/>
          <w:i/>
          <w:iCs/>
          <w:sz w:val="24"/>
          <w:szCs w:val="24"/>
        </w:rPr>
        <w:t>t</w:t>
      </w:r>
      <w:r w:rsidR="00C113AE">
        <w:rPr>
          <w:rFonts w:ascii="Times New Roman" w:hAnsi="Times New Roman" w:cs="Times New Roman"/>
          <w:sz w:val="24"/>
          <w:szCs w:val="24"/>
        </w:rPr>
        <w:t xml:space="preserve"> and is communicated through the hazard ratio.</w:t>
      </w:r>
    </w:p>
    <w:p w14:paraId="12A11475" w14:textId="5289E6EF"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relative risk ratio</w:t>
      </w:r>
      <w:r w:rsidR="00036CDD">
        <w:rPr>
          <w:rFonts w:ascii="Times New Roman" w:hAnsi="Times New Roman" w:cs="Times New Roman"/>
          <w:sz w:val="24"/>
          <w:szCs w:val="24"/>
        </w:rPr>
        <w:t xml:space="preserve"> as discussed earlier</w:t>
      </w:r>
      <w:r>
        <w:rPr>
          <w:rFonts w:ascii="Times New Roman" w:hAnsi="Times New Roman" w:cs="Times New Roman"/>
          <w:sz w:val="24"/>
          <w:szCs w:val="24"/>
        </w:rPr>
        <w:t>, although not the same (</w:t>
      </w:r>
      <w:proofErr w:type="spellStart"/>
      <w:r>
        <w:rPr>
          <w:rFonts w:ascii="Times New Roman" w:hAnsi="Times New Roman" w:cs="Times New Roman"/>
          <w:sz w:val="24"/>
          <w:szCs w:val="24"/>
        </w:rPr>
        <w:t>Sutradhar</w:t>
      </w:r>
      <w:proofErr w:type="spellEnd"/>
      <w:r>
        <w:rPr>
          <w:rFonts w:ascii="Times New Roman" w:hAnsi="Times New Roman" w:cs="Times New Roman"/>
          <w:sz w:val="24"/>
          <w:szCs w:val="24"/>
        </w:rPr>
        <w:t xml:space="preserve">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46FADA21"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of defining the hazard ratio is through the equation in </w:t>
      </w:r>
      <w:r w:rsidR="00467133">
        <w:rPr>
          <w:rFonts w:ascii="Times New Roman" w:hAnsi="Times New Roman" w:cs="Times New Roman"/>
          <w:sz w:val="24"/>
          <w:szCs w:val="24"/>
        </w:rPr>
        <w:t>F</w:t>
      </w:r>
      <w:r>
        <w:rPr>
          <w:rFonts w:ascii="Times New Roman" w:hAnsi="Times New Roman" w:cs="Times New Roman"/>
          <w:sz w:val="24"/>
          <w:szCs w:val="24"/>
        </w:rPr>
        <w:t xml:space="preserve">igure </w:t>
      </w:r>
      <w:r w:rsidR="00E6690C">
        <w:rPr>
          <w:rFonts w:ascii="Times New Roman" w:hAnsi="Times New Roman" w:cs="Times New Roman"/>
          <w:sz w:val="24"/>
          <w:szCs w:val="24"/>
        </w:rPr>
        <w:t>6</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 xml:space="preserve">(t) * </w:t>
      </w:r>
      <w:proofErr w:type="gramStart"/>
      <w:r w:rsidRPr="007F739F">
        <w:rPr>
          <w:rFonts w:ascii="Times New Roman" w:hAnsi="Times New Roman" w:cs="Times New Roman"/>
          <w:i/>
          <w:iCs/>
          <w:sz w:val="32"/>
          <w:szCs w:val="32"/>
        </w:rPr>
        <w:t>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proofErr w:type="gramEnd"/>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75DDEC7C">
                <wp:simplePos x="0" y="0"/>
                <wp:positionH relativeFrom="margin">
                  <wp:align>center</wp:align>
                </wp:positionH>
                <wp:positionV relativeFrom="paragraph">
                  <wp:posOffset>7620</wp:posOffset>
                </wp:positionV>
                <wp:extent cx="2693035" cy="304800"/>
                <wp:effectExtent l="0" t="0" r="1206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304800"/>
                        </a:xfrm>
                        <a:prstGeom prst="rect">
                          <a:avLst/>
                        </a:prstGeom>
                        <a:solidFill>
                          <a:srgbClr val="FFFFFF"/>
                        </a:solidFill>
                        <a:ln w="9525">
                          <a:solidFill>
                            <a:srgbClr val="000000"/>
                          </a:solidFill>
                          <a:miter lim="800000"/>
                          <a:headEnd/>
                          <a:tailEnd/>
                        </a:ln>
                      </wps:spPr>
                      <wps:txbx>
                        <w:txbxContent>
                          <w:p w14:paraId="5021F5B9" w14:textId="261A3D4E" w:rsidR="007F739F" w:rsidRPr="007040D3" w:rsidRDefault="007F739F" w:rsidP="007F739F">
                            <w:pPr>
                              <w:jc w:val="center"/>
                            </w:pPr>
                            <w:r w:rsidRPr="007040D3">
                              <w:rPr>
                                <w:rFonts w:ascii="Times New Roman" w:hAnsi="Times New Roman" w:cs="Times New Roman"/>
                                <w:b/>
                                <w:bCs/>
                                <w:sz w:val="24"/>
                                <w:szCs w:val="24"/>
                              </w:rPr>
                              <w:t xml:space="preserve">Figure </w:t>
                            </w:r>
                            <w:r w:rsidR="00E6690C">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1" type="#_x0000_t202" style="position:absolute;left:0;text-align:left;margin-left:0;margin-top:.6pt;width:212.05pt;height:2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">
                <v:textbox>
                  <w:txbxContent>
                    <w:p w14:paraId="5021F5B9" w14:textId="261A3D4E" w:rsidR="007F739F" w:rsidRPr="007040D3" w:rsidRDefault="007F739F" w:rsidP="007F739F">
                      <w:pPr>
                        <w:jc w:val="center"/>
                      </w:pPr>
                      <w:r w:rsidRPr="007040D3">
                        <w:rPr>
                          <w:rFonts w:ascii="Times New Roman" w:hAnsi="Times New Roman" w:cs="Times New Roman"/>
                          <w:b/>
                          <w:bCs/>
                          <w:sz w:val="24"/>
                          <w:szCs w:val="24"/>
                        </w:rPr>
                        <w:t xml:space="preserve">Figure </w:t>
                      </w:r>
                      <w:r w:rsidR="00E6690C">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501A7A53"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w:t>
      </w:r>
      <w:r w:rsidR="002646AA">
        <w:rPr>
          <w:rFonts w:ascii="Times New Roman" w:hAnsi="Times New Roman" w:cs="Times New Roman"/>
          <w:sz w:val="24"/>
          <w:szCs w:val="24"/>
        </w:rPr>
        <w:t>notated</w:t>
      </w:r>
      <w:r w:rsidR="00C33D93">
        <w:rPr>
          <w:rFonts w:ascii="Times New Roman" w:hAnsi="Times New Roman" w:cs="Times New Roman"/>
          <w:sz w:val="24"/>
          <w:szCs w:val="24"/>
        </w:rPr>
        <w:t xml:space="preserve">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w:t>
      </w:r>
      <w:r w:rsidR="002B3B1A">
        <w:rPr>
          <w:rFonts w:ascii="Times New Roman" w:hAnsi="Times New Roman" w:cs="Times New Roman"/>
          <w:sz w:val="24"/>
          <w:szCs w:val="24"/>
        </w:rPr>
        <w:lastRenderedPageBreak/>
        <w:t xml:space="preserve">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w:t>
      </w:r>
      <w:r w:rsidR="0021032B">
        <w:rPr>
          <w:rFonts w:ascii="Times New Roman" w:hAnsi="Times New Roman" w:cs="Times New Roman"/>
          <w:sz w:val="24"/>
          <w:szCs w:val="24"/>
        </w:rPr>
        <w:t xml:space="preserve"> and t</w:t>
      </w:r>
      <w:r w:rsidR="003A487E">
        <w:rPr>
          <w:rFonts w:ascii="Times New Roman" w:hAnsi="Times New Roman" w:cs="Times New Roman"/>
          <w:sz w:val="24"/>
          <w:szCs w:val="24"/>
        </w:rPr>
        <w:t xml:space="preserve">hus, hazard ratios greater than one are negatively correlated with survival </w:t>
      </w:r>
      <w:r w:rsidR="00B50DB4">
        <w:rPr>
          <w:rFonts w:ascii="Times New Roman" w:hAnsi="Times New Roman" w:cs="Times New Roman"/>
          <w:sz w:val="24"/>
          <w:szCs w:val="24"/>
        </w:rPr>
        <w:t>time</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0BD9EC3F"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C401E1">
        <w:rPr>
          <w:rFonts w:ascii="Times New Roman" w:eastAsia="SimSun" w:hAnsi="Times New Roman" w:cs="Times New Roman"/>
          <w:sz w:val="24"/>
          <w:szCs w:val="24"/>
        </w:rPr>
        <w:t xml:space="preserve"> (Alteryx, 2006)</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w:t>
      </w:r>
      <w:r w:rsidR="00247C2E">
        <w:rPr>
          <w:rFonts w:ascii="Times New Roman" w:eastAsia="SimSun" w:hAnsi="Times New Roman" w:cs="Times New Roman"/>
          <w:sz w:val="24"/>
          <w:szCs w:val="24"/>
        </w:rPr>
        <w:t xml:space="preserve">and </w:t>
      </w:r>
      <w:proofErr w:type="spellStart"/>
      <w:r w:rsidR="00247C2E">
        <w:rPr>
          <w:rFonts w:ascii="Times New Roman" w:eastAsia="SimSun" w:hAnsi="Times New Roman" w:cs="Times New Roman"/>
          <w:sz w:val="24"/>
          <w:szCs w:val="24"/>
        </w:rPr>
        <w:t>SurvMiner</w:t>
      </w:r>
      <w:proofErr w:type="spellEnd"/>
      <w:r w:rsidR="00247C2E">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package</w:t>
      </w:r>
      <w:r w:rsidR="00247C2E">
        <w:rPr>
          <w:rFonts w:ascii="Times New Roman" w:eastAsia="SimSun" w:hAnsi="Times New Roman" w:cs="Times New Roman"/>
          <w:sz w:val="24"/>
          <w:szCs w:val="24"/>
        </w:rPr>
        <w:t>s</w:t>
      </w:r>
      <w:r w:rsidR="001F36AE">
        <w:rPr>
          <w:rFonts w:ascii="Times New Roman" w:eastAsia="SimSun" w:hAnsi="Times New Roman" w:cs="Times New Roman"/>
          <w:sz w:val="24"/>
          <w:szCs w:val="24"/>
        </w:rPr>
        <w:t xml:space="preserve"> </w:t>
      </w:r>
      <w:r w:rsidR="002552A3">
        <w:rPr>
          <w:rFonts w:ascii="Times New Roman" w:eastAsia="SimSun" w:hAnsi="Times New Roman" w:cs="Times New Roman"/>
          <w:sz w:val="24"/>
          <w:szCs w:val="24"/>
        </w:rPr>
        <w:t>in RStudio (Version 1.2.5033)</w:t>
      </w:r>
      <w:r w:rsidR="002421B5">
        <w:rPr>
          <w:rFonts w:ascii="Times New Roman" w:eastAsia="SimSun" w:hAnsi="Times New Roman" w:cs="Times New Roman"/>
          <w:sz w:val="24"/>
          <w:szCs w:val="24"/>
        </w:rPr>
        <w:t xml:space="preserve"> (</w:t>
      </w:r>
      <w:proofErr w:type="spellStart"/>
      <w:r w:rsidR="002421B5">
        <w:rPr>
          <w:rFonts w:ascii="Times New Roman" w:eastAsia="SimSun" w:hAnsi="Times New Roman" w:cs="Times New Roman"/>
          <w:sz w:val="24"/>
          <w:szCs w:val="24"/>
        </w:rPr>
        <w:t>RStudioTeam</w:t>
      </w:r>
      <w:proofErr w:type="spellEnd"/>
      <w:r w:rsidR="002421B5">
        <w:rPr>
          <w:rFonts w:ascii="Times New Roman" w:eastAsia="SimSun" w:hAnsi="Times New Roman" w:cs="Times New Roman"/>
          <w:sz w:val="24"/>
          <w:szCs w:val="24"/>
        </w:rPr>
        <w:t>, 2021)</w:t>
      </w:r>
      <w:r w:rsidR="00247C2E">
        <w:rPr>
          <w:rFonts w:ascii="Times New Roman" w:eastAsia="SimSun" w:hAnsi="Times New Roman" w:cs="Times New Roman"/>
          <w:sz w:val="24"/>
          <w:szCs w:val="24"/>
        </w:rPr>
        <w:t>.  Survival analysis methods were completed in</w:t>
      </w:r>
      <w:r w:rsidR="00EB0ADC">
        <w:rPr>
          <w:rFonts w:ascii="Times New Roman" w:eastAsia="SimSun" w:hAnsi="Times New Roman" w:cs="Times New Roman"/>
          <w:sz w:val="24"/>
          <w:szCs w:val="24"/>
        </w:rPr>
        <w:t xml:space="preserve"> IBM’s</w:t>
      </w:r>
      <w:r w:rsidR="00247C2E">
        <w:rPr>
          <w:rFonts w:ascii="Times New Roman" w:eastAsia="SimSun" w:hAnsi="Times New Roman" w:cs="Times New Roman"/>
          <w:sz w:val="24"/>
          <w:szCs w:val="24"/>
        </w:rPr>
        <w:t xml:space="preserve"> SPSS </w:t>
      </w:r>
      <w:r w:rsidR="00EB0ADC">
        <w:rPr>
          <w:rFonts w:ascii="Times New Roman" w:eastAsia="SimSun" w:hAnsi="Times New Roman" w:cs="Times New Roman"/>
          <w:sz w:val="24"/>
          <w:szCs w:val="24"/>
        </w:rPr>
        <w:t xml:space="preserve">Statistics </w:t>
      </w:r>
      <w:r w:rsidR="005849FB">
        <w:rPr>
          <w:rFonts w:ascii="Times New Roman" w:eastAsia="SimSun" w:hAnsi="Times New Roman" w:cs="Times New Roman"/>
          <w:sz w:val="24"/>
          <w:szCs w:val="24"/>
        </w:rPr>
        <w:t>(V</w:t>
      </w:r>
      <w:r w:rsidR="00247C2E">
        <w:rPr>
          <w:rFonts w:ascii="Times New Roman" w:eastAsia="SimSun" w:hAnsi="Times New Roman" w:cs="Times New Roman"/>
          <w:sz w:val="24"/>
          <w:szCs w:val="24"/>
        </w:rPr>
        <w:t>ersion 25</w:t>
      </w:r>
      <w:r w:rsidR="005849FB">
        <w:rPr>
          <w:rFonts w:ascii="Times New Roman" w:eastAsia="SimSun" w:hAnsi="Times New Roman" w:cs="Times New Roman"/>
          <w:sz w:val="24"/>
          <w:szCs w:val="24"/>
        </w:rPr>
        <w:t>)</w:t>
      </w:r>
      <w:r w:rsidR="00397AAF">
        <w:rPr>
          <w:rFonts w:ascii="Times New Roman" w:eastAsia="SimSun" w:hAnsi="Times New Roman" w:cs="Times New Roman"/>
          <w:sz w:val="24"/>
          <w:szCs w:val="24"/>
        </w:rPr>
        <w:t xml:space="preserve"> (IBM Corp, 2017)</w:t>
      </w:r>
      <w:r w:rsidR="00247C2E">
        <w:rPr>
          <w:rFonts w:ascii="Times New Roman" w:eastAsia="SimSun" w:hAnsi="Times New Roman" w:cs="Times New Roman"/>
          <w:sz w:val="24"/>
          <w:szCs w:val="24"/>
        </w:rPr>
        <w:t>.</w:t>
      </w:r>
    </w:p>
    <w:p w14:paraId="7781F400" w14:textId="587AE5B5" w:rsidR="00C81BB9" w:rsidRDefault="00C81BB9" w:rsidP="00C81BB9">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B802DF">
        <w:rPr>
          <w:rFonts w:ascii="Times New Roman" w:hAnsi="Times New Roman" w:cs="Times New Roman"/>
          <w:sz w:val="24"/>
          <w:szCs w:val="24"/>
        </w:rPr>
        <w:t>7</w:t>
      </w:r>
      <w:r>
        <w:rPr>
          <w:rFonts w:ascii="Times New Roman" w:hAnsi="Times New Roman" w:cs="Times New Roman"/>
          <w:sz w:val="24"/>
          <w:szCs w:val="24"/>
        </w:rPr>
        <w:t xml:space="preserve"> illustrates the process of the data pipeline in this study.</w:t>
      </w:r>
    </w:p>
    <w:p w14:paraId="4F7A9896" w14:textId="77777777" w:rsidR="00C81BB9" w:rsidRDefault="00C81BB9" w:rsidP="00C81BB9">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83C0A7" wp14:editId="752EAC38">
            <wp:extent cx="4926025" cy="6705317"/>
            <wp:effectExtent l="19050" t="19050" r="27305" b="1968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6594" cy="6964720"/>
                    </a:xfrm>
                    <a:prstGeom prst="rect">
                      <a:avLst/>
                    </a:prstGeom>
                    <a:ln>
                      <a:solidFill>
                        <a:schemeClr val="tx1"/>
                      </a:solidFill>
                    </a:ln>
                  </pic:spPr>
                </pic:pic>
              </a:graphicData>
            </a:graphic>
          </wp:inline>
        </w:drawing>
      </w:r>
    </w:p>
    <w:p w14:paraId="2D3CA49C" w14:textId="57B15C0A" w:rsidR="00C81BB9" w:rsidRPr="00903AEA" w:rsidRDefault="00C81BB9" w:rsidP="0025013A">
      <w:pPr>
        <w:spacing w:line="240" w:lineRule="auto"/>
        <w:ind w:firstLine="720"/>
        <w:contextualSpacing/>
        <w:rPr>
          <w:rFonts w:ascii="Times New Roman" w:hAnsi="Times New Roman" w:cs="Times New Roman"/>
          <w:b/>
          <w:bCs/>
          <w:sz w:val="24"/>
          <w:szCs w:val="24"/>
        </w:rPr>
      </w:pPr>
      <w:r w:rsidRPr="00903AEA">
        <w:rPr>
          <w:rFonts w:ascii="Times New Roman" w:hAnsi="Times New Roman" w:cs="Times New Roman"/>
          <w:b/>
          <w:bCs/>
          <w:sz w:val="24"/>
          <w:szCs w:val="24"/>
        </w:rPr>
        <w:t xml:space="preserve">Figure </w:t>
      </w:r>
      <w:r w:rsidR="00B802DF">
        <w:rPr>
          <w:rFonts w:ascii="Times New Roman" w:hAnsi="Times New Roman" w:cs="Times New Roman"/>
          <w:b/>
          <w:bCs/>
          <w:sz w:val="24"/>
          <w:szCs w:val="24"/>
        </w:rPr>
        <w:t>7</w:t>
      </w:r>
      <w:r w:rsidRPr="00903AEA">
        <w:rPr>
          <w:rFonts w:ascii="Times New Roman" w:hAnsi="Times New Roman" w:cs="Times New Roman"/>
          <w:b/>
          <w:bCs/>
          <w:sz w:val="24"/>
          <w:szCs w:val="24"/>
        </w:rPr>
        <w:t>.  Pipeline of TCGA Data</w:t>
      </w:r>
    </w:p>
    <w:p w14:paraId="7263B8AE" w14:textId="77777777" w:rsidR="00C81BB9" w:rsidRDefault="00C81BB9" w:rsidP="009A2E9F">
      <w:pPr>
        <w:shd w:val="clear" w:color="auto" w:fill="FFFFFF"/>
        <w:spacing w:line="480" w:lineRule="auto"/>
        <w:ind w:firstLine="720"/>
        <w:rPr>
          <w:rFonts w:ascii="Times New Roman" w:eastAsia="SimSun" w:hAnsi="Times New Roman" w:cs="Times New Roman"/>
          <w:sz w:val="24"/>
          <w:szCs w:val="24"/>
        </w:rPr>
      </w:pPr>
    </w:p>
    <w:p w14:paraId="61738613" w14:textId="30807B53" w:rsidR="00661C19" w:rsidRDefault="00E31F6B" w:rsidP="0025013A">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w:t>
      </w:r>
      <w:r w:rsidR="00C81BB9">
        <w:rPr>
          <w:rFonts w:ascii="Times New Roman" w:eastAsia="SimSun" w:hAnsi="Times New Roman" w:cs="Times New Roman"/>
          <w:sz w:val="24"/>
          <w:szCs w:val="24"/>
        </w:rPr>
        <w:t xml:space="preserve">Patient event profiles were joined with patient genetic data to create a joined data file.  </w:t>
      </w:r>
      <w:r w:rsidR="001F0D31">
        <w:rPr>
          <w:rFonts w:ascii="Times New Roman" w:eastAsia="SimSun" w:hAnsi="Times New Roman" w:cs="Times New Roman"/>
          <w:sz w:val="24"/>
          <w:szCs w:val="24"/>
        </w:rPr>
        <w:t xml:space="preserve">Table 1 lists the reference to each </w:t>
      </w:r>
      <w:r w:rsidR="001F0D31">
        <w:rPr>
          <w:rFonts w:ascii="Times New Roman" w:eastAsia="SimSun" w:hAnsi="Times New Roman" w:cs="Times New Roman"/>
          <w:sz w:val="24"/>
          <w:szCs w:val="24"/>
        </w:rPr>
        <w:lastRenderedPageBreak/>
        <w:t>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r w:rsidR="00B50397">
        <w:rPr>
          <w:rFonts w:ascii="Times New Roman" w:eastAsia="SimSun" w:hAnsi="Times New Roman" w:cs="Times New Roman"/>
          <w:sz w:val="24"/>
          <w:szCs w:val="24"/>
        </w:rPr>
        <w:t xml:space="preserve"> as well as increasing power of the study.</w:t>
      </w:r>
      <w:r w:rsidR="003E4423">
        <w:rPr>
          <w:rFonts w:ascii="Times New Roman" w:eastAsia="SimSun" w:hAnsi="Times New Roman" w:cs="Times New Roman"/>
          <w:sz w:val="24"/>
          <w:szCs w:val="24"/>
        </w:rPr>
        <w:t xml:space="preserve">  CNV range for each gene spanned from negative two through positive two initially.</w:t>
      </w:r>
    </w:p>
    <w:p w14:paraId="59AEDA07" w14:textId="1F0016B3" w:rsidR="001F0D31" w:rsidRPr="001F0D31" w:rsidRDefault="001F0D31" w:rsidP="001A203A">
      <w:pPr>
        <w:shd w:val="clear" w:color="auto" w:fill="FFFFFF"/>
        <w:spacing w:line="240" w:lineRule="auto"/>
        <w:contextualSpacing/>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6FA00"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AEBBF"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CC66A"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09010"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03EE3CEB" w14:textId="38977B2D" w:rsidR="003E4423" w:rsidRDefault="003E4423" w:rsidP="00FD6ACB">
      <w:pPr>
        <w:shd w:val="clear" w:color="auto" w:fill="FFFFFF"/>
        <w:spacing w:line="480" w:lineRule="auto"/>
        <w:rPr>
          <w:rFonts w:ascii="Times New Roman" w:eastAsia="SimSun" w:hAnsi="Times New Roman" w:cs="Times New Roman"/>
          <w:sz w:val="24"/>
          <w:szCs w:val="24"/>
        </w:rPr>
      </w:pPr>
      <w:r w:rsidRPr="003E4423">
        <w:rPr>
          <w:rFonts w:ascii="Times New Roman" w:eastAsia="SimSun" w:hAnsi="Times New Roman" w:cs="Times New Roman"/>
          <w:b/>
          <w:bCs/>
          <w:sz w:val="24"/>
          <w:szCs w:val="24"/>
        </w:rPr>
        <w:t>* Varying distributions of each gene were found and can be seen in Appendix B.</w:t>
      </w:r>
      <w:r w:rsidR="00690FF1">
        <w:rPr>
          <w:rFonts w:ascii="Times New Roman" w:eastAsia="SimSun" w:hAnsi="Times New Roman" w:cs="Times New Roman"/>
          <w:sz w:val="24"/>
          <w:szCs w:val="24"/>
        </w:rPr>
        <w:br/>
      </w:r>
      <w:r w:rsidR="00690FF1">
        <w:rPr>
          <w:rFonts w:ascii="Times New Roman" w:eastAsia="SimSun" w:hAnsi="Times New Roman" w:cs="Times New Roman"/>
          <w:sz w:val="24"/>
          <w:szCs w:val="24"/>
        </w:rPr>
        <w:tab/>
      </w:r>
      <w:r>
        <w:rPr>
          <w:rFonts w:ascii="Times New Roman" w:eastAsia="SimSun" w:hAnsi="Times New Roman" w:cs="Times New Roman"/>
          <w:sz w:val="24"/>
          <w:szCs w:val="24"/>
        </w:rPr>
        <w:t xml:space="preserve">Once Kaplan-Meier curves were performed, any model with a p-value less than 0.05 was used for further modeling of log-rank tests and Cox-proportional hazard models.  </w:t>
      </w:r>
    </w:p>
    <w:p w14:paraId="0ADAB8A3" w14:textId="22BDF530" w:rsidR="00E15C05" w:rsidRDefault="00977210" w:rsidP="00C81BB9">
      <w:pPr>
        <w:shd w:val="clear" w:color="auto" w:fill="FFFFFF"/>
        <w:spacing w:line="480" w:lineRule="auto"/>
        <w:ind w:firstLine="720"/>
        <w:rPr>
          <w:rFonts w:ascii="Times New Roman" w:eastAsia="SimSun" w:hAnsi="Times New Roman" w:cs="Times New Roman"/>
          <w:color w:val="000000" w:themeColor="text1"/>
          <w:sz w:val="24"/>
          <w:szCs w:val="24"/>
        </w:rPr>
      </w:pPr>
      <w:r>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Pr>
          <w:rFonts w:ascii="Times New Roman" w:eastAsia="SimSun" w:hAnsi="Times New Roman" w:cs="Times New Roman"/>
          <w:sz w:val="24"/>
          <w:szCs w:val="24"/>
        </w:rPr>
        <w:t xml:space="preserve"> “</w:t>
      </w:r>
      <w:proofErr w:type="spellStart"/>
      <w:r w:rsidRPr="0088044C">
        <w:rPr>
          <w:rFonts w:ascii="Times New Roman" w:eastAsia="SimSun" w:hAnsi="Times New Roman" w:cs="Times New Roman"/>
          <w:sz w:val="24"/>
          <w:szCs w:val="24"/>
        </w:rPr>
        <w:t>Days.to.Death</w:t>
      </w:r>
      <w:proofErr w:type="spellEnd"/>
      <w:r>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Pr>
          <w:rFonts w:ascii="Times New Roman" w:eastAsia="SimSun" w:hAnsi="Times New Roman" w:cs="Times New Roman"/>
          <w:sz w:val="24"/>
          <w:szCs w:val="24"/>
        </w:rPr>
        <w:t xml:space="preserve"> right distribution with a high spike at the beginning of the timeframe</w:t>
      </w:r>
      <w:r w:rsidR="00137960">
        <w:rPr>
          <w:rFonts w:ascii="Times New Roman" w:eastAsia="SimSun" w:hAnsi="Times New Roman" w:cs="Times New Roman"/>
          <w:sz w:val="24"/>
          <w:szCs w:val="24"/>
        </w:rPr>
        <w:t xml:space="preserve"> and can be seen in Appendix B</w:t>
      </w:r>
      <w:r>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sidR="001F0D31">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sidR="001F0D31">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FD6ACB">
        <w:rPr>
          <w:rFonts w:ascii="Times New Roman" w:eastAsia="SimSun" w:hAnsi="Times New Roman" w:cs="Times New Roman"/>
          <w:sz w:val="24"/>
          <w:szCs w:val="24"/>
        </w:rPr>
        <w:t xml:space="preserve">  </w:t>
      </w:r>
      <w:r w:rsidR="00E15C05">
        <w:rPr>
          <w:rFonts w:ascii="Times New Roman" w:eastAsia="SimSun" w:hAnsi="Times New Roman" w:cs="Times New Roman"/>
          <w:color w:val="000000" w:themeColor="text1"/>
          <w:sz w:val="24"/>
          <w:szCs w:val="24"/>
        </w:rPr>
        <w:t>Table 2 shows the summary of the censored data for each stratification where N is defined as the population or observations.  48.4% of the data had censored events.</w:t>
      </w:r>
      <w:r w:rsidR="00C81BB9">
        <w:rPr>
          <w:rFonts w:ascii="Times New Roman" w:eastAsia="SimSun" w:hAnsi="Times New Roman" w:cs="Times New Roman"/>
          <w:color w:val="000000" w:themeColor="text1"/>
          <w:sz w:val="24"/>
          <w:szCs w:val="24"/>
        </w:rPr>
        <w:t xml:space="preserve">  </w:t>
      </w:r>
    </w:p>
    <w:p w14:paraId="03E9F94B" w14:textId="3FB6B9AA" w:rsidR="00E15C05" w:rsidRPr="007170B2" w:rsidRDefault="00E15C05" w:rsidP="003651A9">
      <w:pPr>
        <w:spacing w:line="240" w:lineRule="auto"/>
        <w:contextualSpacing/>
        <w:rPr>
          <w:rFonts w:ascii="Times New Roman" w:eastAsia="SimSun" w:hAnsi="Times New Roman" w:cs="Times New Roman"/>
          <w:b/>
          <w:bCs/>
          <w:color w:val="000000" w:themeColor="text1"/>
          <w:sz w:val="24"/>
          <w:szCs w:val="24"/>
        </w:rPr>
      </w:pPr>
      <w:r>
        <w:rPr>
          <w:rFonts w:ascii="Times New Roman" w:eastAsia="SimSun" w:hAnsi="Times New Roman" w:cs="Times New Roman"/>
          <w:b/>
          <w:bCs/>
          <w:color w:val="000000" w:themeColor="text1"/>
          <w:sz w:val="24"/>
          <w:szCs w:val="24"/>
        </w:rPr>
        <w:br w:type="page"/>
      </w:r>
      <w:r w:rsidRPr="007170B2">
        <w:rPr>
          <w:rFonts w:ascii="Times New Roman" w:eastAsia="SimSun" w:hAnsi="Times New Roman" w:cs="Times New Roman"/>
          <w:b/>
          <w:bCs/>
          <w:color w:val="000000" w:themeColor="text1"/>
          <w:sz w:val="24"/>
          <w:szCs w:val="24"/>
        </w:rPr>
        <w:lastRenderedPageBreak/>
        <w:t xml:space="preserve">Table </w:t>
      </w:r>
      <w:r>
        <w:rPr>
          <w:rFonts w:ascii="Times New Roman" w:eastAsia="SimSun" w:hAnsi="Times New Roman" w:cs="Times New Roman"/>
          <w:b/>
          <w:bCs/>
          <w:color w:val="000000" w:themeColor="text1"/>
          <w:sz w:val="24"/>
          <w:szCs w:val="24"/>
        </w:rPr>
        <w:t>2</w:t>
      </w:r>
      <w:r w:rsidRPr="007170B2">
        <w:rPr>
          <w:rFonts w:ascii="Times New Roman" w:eastAsia="SimSun" w:hAnsi="Times New Roman" w:cs="Times New Roman"/>
          <w:b/>
          <w:bCs/>
          <w:color w:val="000000" w:themeColor="text1"/>
          <w:sz w:val="24"/>
          <w:szCs w:val="24"/>
        </w:rPr>
        <w:t>.  Summary of Censored Data</w:t>
      </w:r>
    </w:p>
    <w:tbl>
      <w:tblPr>
        <w:tblW w:w="9217" w:type="dxa"/>
        <w:tblLook w:val="04A0" w:firstRow="1" w:lastRow="0" w:firstColumn="1" w:lastColumn="0" w:noHBand="0" w:noVBand="1"/>
      </w:tblPr>
      <w:tblGrid>
        <w:gridCol w:w="2161"/>
        <w:gridCol w:w="1763"/>
        <w:gridCol w:w="1763"/>
        <w:gridCol w:w="1763"/>
        <w:gridCol w:w="1767"/>
      </w:tblGrid>
      <w:tr w:rsidR="00E15C05" w:rsidRPr="007170B2" w14:paraId="1865CBF9" w14:textId="77777777" w:rsidTr="007C1AF5">
        <w:trPr>
          <w:trHeight w:val="299"/>
        </w:trPr>
        <w:tc>
          <w:tcPr>
            <w:tcW w:w="9217" w:type="dxa"/>
            <w:gridSpan w:val="5"/>
            <w:tcBorders>
              <w:top w:val="single" w:sz="4" w:space="0" w:color="auto"/>
              <w:left w:val="single" w:sz="4" w:space="0" w:color="auto"/>
              <w:bottom w:val="nil"/>
              <w:right w:val="single" w:sz="4" w:space="0" w:color="auto"/>
            </w:tcBorders>
            <w:shd w:val="clear" w:color="auto" w:fill="auto"/>
            <w:vAlign w:val="center"/>
            <w:hideMark/>
          </w:tcPr>
          <w:p w14:paraId="420D6EF0" w14:textId="77777777" w:rsidR="00E15C05" w:rsidRPr="007170B2" w:rsidRDefault="00E15C05" w:rsidP="007C1AF5">
            <w:pPr>
              <w:spacing w:after="0" w:line="240" w:lineRule="auto"/>
              <w:jc w:val="center"/>
              <w:rPr>
                <w:rFonts w:ascii="Arial Bold" w:eastAsia="Times New Roman" w:hAnsi="Arial Bold" w:cs="Calibri"/>
                <w:b/>
                <w:bCs/>
                <w:color w:val="993300"/>
              </w:rPr>
            </w:pPr>
            <w:r w:rsidRPr="007170B2">
              <w:rPr>
                <w:rFonts w:ascii="Arial Bold" w:eastAsia="Times New Roman" w:hAnsi="Arial Bold" w:cs="Calibri"/>
                <w:b/>
                <w:bCs/>
                <w:color w:val="993300"/>
                <w:sz w:val="28"/>
                <w:szCs w:val="32"/>
              </w:rPr>
              <w:t>Censored Observation</w:t>
            </w:r>
            <w:r>
              <w:rPr>
                <w:rFonts w:ascii="Arial Bold" w:eastAsia="Times New Roman" w:hAnsi="Arial Bold" w:cs="Calibri"/>
                <w:b/>
                <w:bCs/>
                <w:color w:val="993300"/>
                <w:sz w:val="28"/>
                <w:szCs w:val="32"/>
              </w:rPr>
              <w:t>s</w:t>
            </w:r>
            <w:r w:rsidRPr="007170B2">
              <w:rPr>
                <w:rFonts w:ascii="Arial Bold" w:eastAsia="Times New Roman" w:hAnsi="Arial Bold" w:cs="Calibri"/>
                <w:b/>
                <w:bCs/>
                <w:color w:val="993300"/>
                <w:sz w:val="28"/>
                <w:szCs w:val="32"/>
              </w:rPr>
              <w:t xml:space="preserve"> Summary</w:t>
            </w:r>
          </w:p>
        </w:tc>
      </w:tr>
      <w:tr w:rsidR="00E15C05" w:rsidRPr="007170B2" w14:paraId="69DD9A4F" w14:textId="77777777" w:rsidTr="006404D4">
        <w:trPr>
          <w:trHeight w:val="299"/>
        </w:trPr>
        <w:tc>
          <w:tcPr>
            <w:tcW w:w="2161" w:type="dxa"/>
            <w:vMerge w:val="restart"/>
            <w:tcBorders>
              <w:top w:val="nil"/>
              <w:left w:val="single" w:sz="4" w:space="0" w:color="auto"/>
              <w:bottom w:val="single" w:sz="4" w:space="0" w:color="993366"/>
              <w:right w:val="nil"/>
            </w:tcBorders>
            <w:shd w:val="clear" w:color="auto" w:fill="auto"/>
            <w:vAlign w:val="bottom"/>
            <w:hideMark/>
          </w:tcPr>
          <w:p w14:paraId="144EE0AF" w14:textId="77777777" w:rsidR="00E15C05" w:rsidRPr="007170B2" w:rsidRDefault="00E15C05" w:rsidP="007C1AF5">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COL12A1</w:t>
            </w:r>
          </w:p>
        </w:tc>
        <w:tc>
          <w:tcPr>
            <w:tcW w:w="1763" w:type="dxa"/>
            <w:vMerge w:val="restart"/>
            <w:tcBorders>
              <w:top w:val="nil"/>
              <w:left w:val="nil"/>
              <w:bottom w:val="single" w:sz="4" w:space="0" w:color="993366"/>
              <w:right w:val="single" w:sz="4" w:space="0" w:color="333333"/>
            </w:tcBorders>
            <w:shd w:val="clear" w:color="auto" w:fill="auto"/>
            <w:vAlign w:val="bottom"/>
            <w:hideMark/>
          </w:tcPr>
          <w:p w14:paraId="310E4928"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Total N</w:t>
            </w:r>
          </w:p>
        </w:tc>
        <w:tc>
          <w:tcPr>
            <w:tcW w:w="1763" w:type="dxa"/>
            <w:vMerge w:val="restart"/>
            <w:tcBorders>
              <w:top w:val="nil"/>
              <w:left w:val="single" w:sz="4" w:space="0" w:color="333333"/>
              <w:bottom w:val="single" w:sz="4" w:space="0" w:color="993366"/>
              <w:right w:val="single" w:sz="4" w:space="0" w:color="333333"/>
            </w:tcBorders>
            <w:shd w:val="clear" w:color="auto" w:fill="auto"/>
            <w:vAlign w:val="bottom"/>
            <w:hideMark/>
          </w:tcPr>
          <w:p w14:paraId="0C19441F"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N of Events</w:t>
            </w:r>
          </w:p>
        </w:tc>
        <w:tc>
          <w:tcPr>
            <w:tcW w:w="3530" w:type="dxa"/>
            <w:gridSpan w:val="2"/>
            <w:tcBorders>
              <w:top w:val="nil"/>
              <w:left w:val="nil"/>
              <w:bottom w:val="nil"/>
              <w:right w:val="single" w:sz="4" w:space="0" w:color="auto"/>
            </w:tcBorders>
            <w:shd w:val="clear" w:color="auto" w:fill="auto"/>
            <w:vAlign w:val="bottom"/>
            <w:hideMark/>
          </w:tcPr>
          <w:p w14:paraId="405722C4"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Censored</w:t>
            </w:r>
          </w:p>
        </w:tc>
      </w:tr>
      <w:tr w:rsidR="00E15C05" w:rsidRPr="007170B2" w14:paraId="5C218373" w14:textId="77777777" w:rsidTr="006404D4">
        <w:trPr>
          <w:trHeight w:val="299"/>
        </w:trPr>
        <w:tc>
          <w:tcPr>
            <w:tcW w:w="2161" w:type="dxa"/>
            <w:vMerge/>
            <w:tcBorders>
              <w:top w:val="nil"/>
              <w:left w:val="single" w:sz="4" w:space="0" w:color="auto"/>
              <w:bottom w:val="single" w:sz="4" w:space="0" w:color="993366"/>
              <w:right w:val="nil"/>
            </w:tcBorders>
            <w:vAlign w:val="center"/>
            <w:hideMark/>
          </w:tcPr>
          <w:p w14:paraId="7575B21F" w14:textId="77777777" w:rsidR="00E15C05" w:rsidRPr="007170B2" w:rsidRDefault="00E15C05" w:rsidP="007C1AF5">
            <w:pPr>
              <w:spacing w:after="0" w:line="240" w:lineRule="auto"/>
              <w:rPr>
                <w:rFonts w:ascii="Arial" w:eastAsia="Times New Roman" w:hAnsi="Arial" w:cs="Arial"/>
                <w:b/>
                <w:bCs/>
                <w:color w:val="333399"/>
                <w:sz w:val="18"/>
                <w:szCs w:val="18"/>
              </w:rPr>
            </w:pPr>
          </w:p>
        </w:tc>
        <w:tc>
          <w:tcPr>
            <w:tcW w:w="1763" w:type="dxa"/>
            <w:vMerge/>
            <w:tcBorders>
              <w:top w:val="nil"/>
              <w:left w:val="nil"/>
              <w:bottom w:val="single" w:sz="4" w:space="0" w:color="993366"/>
              <w:right w:val="single" w:sz="4" w:space="0" w:color="333333"/>
            </w:tcBorders>
            <w:vAlign w:val="center"/>
            <w:hideMark/>
          </w:tcPr>
          <w:p w14:paraId="3F3F3EE8" w14:textId="77777777" w:rsidR="00E15C05" w:rsidRPr="007170B2" w:rsidRDefault="00E15C05" w:rsidP="007C1AF5">
            <w:pPr>
              <w:spacing w:after="0" w:line="240" w:lineRule="auto"/>
              <w:rPr>
                <w:rFonts w:ascii="Arial" w:eastAsia="Times New Roman" w:hAnsi="Arial" w:cs="Arial"/>
                <w:color w:val="333399"/>
                <w:sz w:val="24"/>
                <w:szCs w:val="24"/>
              </w:rPr>
            </w:pPr>
          </w:p>
        </w:tc>
        <w:tc>
          <w:tcPr>
            <w:tcW w:w="1763" w:type="dxa"/>
            <w:vMerge/>
            <w:tcBorders>
              <w:top w:val="nil"/>
              <w:left w:val="single" w:sz="4" w:space="0" w:color="333333"/>
              <w:bottom w:val="single" w:sz="4" w:space="0" w:color="993366"/>
              <w:right w:val="single" w:sz="4" w:space="0" w:color="333333"/>
            </w:tcBorders>
            <w:vAlign w:val="center"/>
            <w:hideMark/>
          </w:tcPr>
          <w:p w14:paraId="785D16A1" w14:textId="77777777" w:rsidR="00E15C05" w:rsidRPr="007170B2" w:rsidRDefault="00E15C05" w:rsidP="007C1AF5">
            <w:pPr>
              <w:spacing w:after="0" w:line="240" w:lineRule="auto"/>
              <w:rPr>
                <w:rFonts w:ascii="Arial" w:eastAsia="Times New Roman" w:hAnsi="Arial" w:cs="Arial"/>
                <w:color w:val="333399"/>
                <w:sz w:val="24"/>
                <w:szCs w:val="24"/>
              </w:rPr>
            </w:pPr>
          </w:p>
        </w:tc>
        <w:tc>
          <w:tcPr>
            <w:tcW w:w="1763" w:type="dxa"/>
            <w:tcBorders>
              <w:top w:val="nil"/>
              <w:left w:val="nil"/>
              <w:bottom w:val="single" w:sz="4" w:space="0" w:color="993366"/>
              <w:right w:val="single" w:sz="4" w:space="0" w:color="333333"/>
            </w:tcBorders>
            <w:shd w:val="clear" w:color="auto" w:fill="auto"/>
            <w:vAlign w:val="bottom"/>
            <w:hideMark/>
          </w:tcPr>
          <w:p w14:paraId="263A2237"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N</w:t>
            </w:r>
          </w:p>
        </w:tc>
        <w:tc>
          <w:tcPr>
            <w:tcW w:w="1767" w:type="dxa"/>
            <w:tcBorders>
              <w:top w:val="nil"/>
              <w:left w:val="nil"/>
              <w:bottom w:val="single" w:sz="4" w:space="0" w:color="993366"/>
              <w:right w:val="single" w:sz="4" w:space="0" w:color="auto"/>
            </w:tcBorders>
            <w:shd w:val="clear" w:color="auto" w:fill="auto"/>
            <w:vAlign w:val="bottom"/>
            <w:hideMark/>
          </w:tcPr>
          <w:p w14:paraId="1F3F580C" w14:textId="77777777" w:rsidR="00E15C05" w:rsidRPr="007170B2" w:rsidRDefault="00E15C05" w:rsidP="007C1AF5">
            <w:pPr>
              <w:spacing w:after="0" w:line="240" w:lineRule="auto"/>
              <w:jc w:val="center"/>
              <w:rPr>
                <w:rFonts w:ascii="Arial" w:eastAsia="Times New Roman" w:hAnsi="Arial" w:cs="Arial"/>
                <w:color w:val="333399"/>
                <w:sz w:val="24"/>
                <w:szCs w:val="24"/>
              </w:rPr>
            </w:pPr>
            <w:r w:rsidRPr="007170B2">
              <w:rPr>
                <w:rFonts w:ascii="Arial" w:eastAsia="Times New Roman" w:hAnsi="Arial" w:cs="Arial"/>
                <w:color w:val="333399"/>
                <w:sz w:val="24"/>
                <w:szCs w:val="24"/>
              </w:rPr>
              <w:t>Percent</w:t>
            </w:r>
          </w:p>
        </w:tc>
      </w:tr>
      <w:tr w:rsidR="00E15C05" w:rsidRPr="007170B2" w14:paraId="2C33F416"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0CBCAA5F"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nil"/>
              <w:left w:val="nil"/>
              <w:bottom w:val="single" w:sz="4" w:space="0" w:color="C0C0C0"/>
              <w:right w:val="single" w:sz="4" w:space="0" w:color="333333"/>
            </w:tcBorders>
            <w:shd w:val="clear" w:color="auto" w:fill="auto"/>
            <w:noWrap/>
            <w:hideMark/>
          </w:tcPr>
          <w:p w14:paraId="3CE0BEF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234</w:t>
            </w:r>
          </w:p>
        </w:tc>
        <w:tc>
          <w:tcPr>
            <w:tcW w:w="1763" w:type="dxa"/>
            <w:tcBorders>
              <w:top w:val="nil"/>
              <w:left w:val="nil"/>
              <w:bottom w:val="single" w:sz="4" w:space="0" w:color="C0C0C0"/>
              <w:right w:val="single" w:sz="4" w:space="0" w:color="333333"/>
            </w:tcBorders>
            <w:shd w:val="clear" w:color="auto" w:fill="auto"/>
            <w:noWrap/>
            <w:hideMark/>
          </w:tcPr>
          <w:p w14:paraId="150A523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113</w:t>
            </w:r>
          </w:p>
        </w:tc>
        <w:tc>
          <w:tcPr>
            <w:tcW w:w="1763" w:type="dxa"/>
            <w:tcBorders>
              <w:top w:val="nil"/>
              <w:left w:val="nil"/>
              <w:bottom w:val="single" w:sz="4" w:space="0" w:color="C0C0C0"/>
              <w:right w:val="single" w:sz="4" w:space="0" w:color="333333"/>
            </w:tcBorders>
            <w:shd w:val="clear" w:color="auto" w:fill="auto"/>
            <w:noWrap/>
            <w:hideMark/>
          </w:tcPr>
          <w:p w14:paraId="4800A49A"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121</w:t>
            </w:r>
          </w:p>
        </w:tc>
        <w:tc>
          <w:tcPr>
            <w:tcW w:w="1767" w:type="dxa"/>
            <w:tcBorders>
              <w:top w:val="nil"/>
              <w:left w:val="nil"/>
              <w:bottom w:val="single" w:sz="4" w:space="0" w:color="C0C0C0"/>
              <w:right w:val="single" w:sz="4" w:space="0" w:color="auto"/>
            </w:tcBorders>
            <w:shd w:val="clear" w:color="auto" w:fill="auto"/>
            <w:noWrap/>
            <w:hideMark/>
          </w:tcPr>
          <w:p w14:paraId="5BB7909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51.7%</w:t>
            </w:r>
          </w:p>
        </w:tc>
      </w:tr>
      <w:tr w:rsidR="00E15C05" w:rsidRPr="007170B2" w14:paraId="12F3E26F"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6027BF0A"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6FD8D4AC"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196</w:t>
            </w:r>
          </w:p>
        </w:tc>
        <w:tc>
          <w:tcPr>
            <w:tcW w:w="1763" w:type="dxa"/>
            <w:tcBorders>
              <w:top w:val="nil"/>
              <w:left w:val="nil"/>
              <w:bottom w:val="single" w:sz="4" w:space="0" w:color="C0C0C0"/>
              <w:right w:val="single" w:sz="4" w:space="0" w:color="333333"/>
            </w:tcBorders>
            <w:shd w:val="clear" w:color="auto" w:fill="auto"/>
            <w:noWrap/>
            <w:hideMark/>
          </w:tcPr>
          <w:p w14:paraId="6C63B5D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118</w:t>
            </w:r>
          </w:p>
        </w:tc>
        <w:tc>
          <w:tcPr>
            <w:tcW w:w="1763" w:type="dxa"/>
            <w:tcBorders>
              <w:top w:val="nil"/>
              <w:left w:val="nil"/>
              <w:bottom w:val="single" w:sz="4" w:space="0" w:color="C0C0C0"/>
              <w:right w:val="single" w:sz="4" w:space="0" w:color="333333"/>
            </w:tcBorders>
            <w:shd w:val="clear" w:color="auto" w:fill="auto"/>
            <w:noWrap/>
            <w:hideMark/>
          </w:tcPr>
          <w:p w14:paraId="484477A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78</w:t>
            </w:r>
          </w:p>
        </w:tc>
        <w:tc>
          <w:tcPr>
            <w:tcW w:w="1767" w:type="dxa"/>
            <w:tcBorders>
              <w:top w:val="nil"/>
              <w:left w:val="nil"/>
              <w:bottom w:val="single" w:sz="4" w:space="0" w:color="C0C0C0"/>
              <w:right w:val="single" w:sz="4" w:space="0" w:color="auto"/>
            </w:tcBorders>
            <w:shd w:val="clear" w:color="auto" w:fill="auto"/>
            <w:noWrap/>
            <w:hideMark/>
          </w:tcPr>
          <w:p w14:paraId="05AE8368"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39.8%</w:t>
            </w:r>
          </w:p>
        </w:tc>
      </w:tr>
      <w:tr w:rsidR="00E15C05" w:rsidRPr="007170B2" w14:paraId="377D532C"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314271E6"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5D18598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134</w:t>
            </w:r>
          </w:p>
        </w:tc>
        <w:tc>
          <w:tcPr>
            <w:tcW w:w="1763" w:type="dxa"/>
            <w:tcBorders>
              <w:top w:val="nil"/>
              <w:left w:val="nil"/>
              <w:bottom w:val="single" w:sz="4" w:space="0" w:color="C0C0C0"/>
              <w:right w:val="single" w:sz="4" w:space="0" w:color="333333"/>
            </w:tcBorders>
            <w:shd w:val="clear" w:color="auto" w:fill="auto"/>
            <w:noWrap/>
            <w:hideMark/>
          </w:tcPr>
          <w:p w14:paraId="0A2F42C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60</w:t>
            </w:r>
          </w:p>
        </w:tc>
        <w:tc>
          <w:tcPr>
            <w:tcW w:w="1763" w:type="dxa"/>
            <w:tcBorders>
              <w:top w:val="nil"/>
              <w:left w:val="nil"/>
              <w:bottom w:val="single" w:sz="4" w:space="0" w:color="C0C0C0"/>
              <w:right w:val="single" w:sz="4" w:space="0" w:color="333333"/>
            </w:tcBorders>
            <w:shd w:val="clear" w:color="auto" w:fill="auto"/>
            <w:noWrap/>
            <w:hideMark/>
          </w:tcPr>
          <w:p w14:paraId="52215848"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74</w:t>
            </w:r>
          </w:p>
        </w:tc>
        <w:tc>
          <w:tcPr>
            <w:tcW w:w="1767" w:type="dxa"/>
            <w:tcBorders>
              <w:top w:val="nil"/>
              <w:left w:val="nil"/>
              <w:bottom w:val="single" w:sz="4" w:space="0" w:color="C0C0C0"/>
              <w:right w:val="single" w:sz="4" w:space="0" w:color="auto"/>
            </w:tcBorders>
            <w:shd w:val="clear" w:color="auto" w:fill="auto"/>
            <w:noWrap/>
            <w:hideMark/>
          </w:tcPr>
          <w:p w14:paraId="64449E64"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55.2%</w:t>
            </w:r>
          </w:p>
        </w:tc>
      </w:tr>
      <w:tr w:rsidR="00E15C05" w:rsidRPr="007170B2" w14:paraId="782A47DC" w14:textId="77777777" w:rsidTr="00563DDD">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5DEC8797"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61A8611"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2962EB0"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668A0115"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57587917"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r w:rsidR="006404D4" w:rsidRPr="007170B2" w14:paraId="44C08B1D" w14:textId="77777777" w:rsidTr="00563DDD">
        <w:trPr>
          <w:trHeight w:val="299"/>
        </w:trPr>
        <w:tc>
          <w:tcPr>
            <w:tcW w:w="2161" w:type="dxa"/>
            <w:tcBorders>
              <w:top w:val="single" w:sz="4" w:space="0" w:color="auto"/>
              <w:left w:val="single" w:sz="4" w:space="0" w:color="auto"/>
              <w:bottom w:val="single" w:sz="4" w:space="0" w:color="auto"/>
              <w:right w:val="nil"/>
            </w:tcBorders>
            <w:shd w:val="clear" w:color="auto" w:fill="auto"/>
            <w:hideMark/>
          </w:tcPr>
          <w:p w14:paraId="0913C154" w14:textId="77777777" w:rsidR="00E15C05" w:rsidRPr="007170B2" w:rsidRDefault="00E15C05" w:rsidP="007C1AF5">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COL5A3</w:t>
            </w:r>
          </w:p>
        </w:tc>
        <w:tc>
          <w:tcPr>
            <w:tcW w:w="1763" w:type="dxa"/>
            <w:tcBorders>
              <w:top w:val="single" w:sz="4" w:space="0" w:color="auto"/>
              <w:left w:val="nil"/>
              <w:bottom w:val="single" w:sz="4" w:space="0" w:color="auto"/>
              <w:right w:val="single" w:sz="4" w:space="0" w:color="auto"/>
            </w:tcBorders>
            <w:shd w:val="clear" w:color="auto" w:fill="auto"/>
            <w:vAlign w:val="bottom"/>
            <w:hideMark/>
          </w:tcPr>
          <w:p w14:paraId="55EC7779"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left w:val="single" w:sz="4" w:space="0" w:color="auto"/>
              <w:bottom w:val="single" w:sz="4" w:space="0" w:color="auto"/>
            </w:tcBorders>
            <w:shd w:val="clear" w:color="auto" w:fill="auto"/>
            <w:vAlign w:val="bottom"/>
            <w:hideMark/>
          </w:tcPr>
          <w:p w14:paraId="6BB0537E"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bottom w:val="single" w:sz="4" w:space="0" w:color="auto"/>
            </w:tcBorders>
            <w:shd w:val="clear" w:color="auto" w:fill="auto"/>
            <w:vAlign w:val="bottom"/>
            <w:hideMark/>
          </w:tcPr>
          <w:p w14:paraId="667FF03F"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c>
          <w:tcPr>
            <w:tcW w:w="1767" w:type="dxa"/>
            <w:tcBorders>
              <w:top w:val="single" w:sz="4" w:space="0" w:color="auto"/>
              <w:bottom w:val="single" w:sz="4" w:space="0" w:color="auto"/>
              <w:right w:val="single" w:sz="4" w:space="0" w:color="auto"/>
            </w:tcBorders>
            <w:shd w:val="clear" w:color="auto" w:fill="auto"/>
            <w:vAlign w:val="bottom"/>
            <w:hideMark/>
          </w:tcPr>
          <w:p w14:paraId="55309B3E" w14:textId="77777777" w:rsidR="00E15C05" w:rsidRPr="007170B2" w:rsidRDefault="00E15C05" w:rsidP="007C1AF5">
            <w:pPr>
              <w:spacing w:after="0" w:line="240" w:lineRule="auto"/>
              <w:jc w:val="center"/>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 </w:t>
            </w:r>
          </w:p>
        </w:tc>
      </w:tr>
      <w:tr w:rsidR="006404D4" w:rsidRPr="007170B2" w14:paraId="345CCD4B" w14:textId="77777777" w:rsidTr="00563DDD">
        <w:trPr>
          <w:trHeight w:val="299"/>
        </w:trPr>
        <w:tc>
          <w:tcPr>
            <w:tcW w:w="2161" w:type="dxa"/>
            <w:tcBorders>
              <w:top w:val="single" w:sz="4" w:space="0" w:color="auto"/>
              <w:left w:val="single" w:sz="4" w:space="0" w:color="auto"/>
              <w:bottom w:val="single" w:sz="4" w:space="0" w:color="C0C0C0"/>
              <w:right w:val="nil"/>
            </w:tcBorders>
            <w:shd w:val="clear" w:color="000000" w:fill="CCCCFF"/>
            <w:hideMark/>
          </w:tcPr>
          <w:p w14:paraId="29A5BF76"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56AEE93C"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154</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0F3674B2"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76</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37279899"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78</w:t>
            </w:r>
          </w:p>
        </w:tc>
        <w:tc>
          <w:tcPr>
            <w:tcW w:w="1767" w:type="dxa"/>
            <w:tcBorders>
              <w:top w:val="single" w:sz="4" w:space="0" w:color="auto"/>
              <w:left w:val="nil"/>
              <w:bottom w:val="single" w:sz="4" w:space="0" w:color="C0C0C0"/>
              <w:right w:val="single" w:sz="4" w:space="0" w:color="auto"/>
            </w:tcBorders>
            <w:shd w:val="clear" w:color="auto" w:fill="auto"/>
            <w:noWrap/>
            <w:hideMark/>
          </w:tcPr>
          <w:p w14:paraId="0515E77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50.6%</w:t>
            </w:r>
          </w:p>
        </w:tc>
      </w:tr>
      <w:tr w:rsidR="00E15C05" w:rsidRPr="007170B2" w14:paraId="3CF84DDF"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673C77A8"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15C757D4"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193</w:t>
            </w:r>
          </w:p>
        </w:tc>
        <w:tc>
          <w:tcPr>
            <w:tcW w:w="1763" w:type="dxa"/>
            <w:tcBorders>
              <w:top w:val="nil"/>
              <w:left w:val="nil"/>
              <w:bottom w:val="single" w:sz="4" w:space="0" w:color="C0C0C0"/>
              <w:right w:val="single" w:sz="4" w:space="0" w:color="333333"/>
            </w:tcBorders>
            <w:shd w:val="clear" w:color="auto" w:fill="auto"/>
            <w:noWrap/>
            <w:hideMark/>
          </w:tcPr>
          <w:p w14:paraId="1B8113C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110</w:t>
            </w:r>
          </w:p>
        </w:tc>
        <w:tc>
          <w:tcPr>
            <w:tcW w:w="1763" w:type="dxa"/>
            <w:tcBorders>
              <w:top w:val="nil"/>
              <w:left w:val="nil"/>
              <w:bottom w:val="single" w:sz="4" w:space="0" w:color="C0C0C0"/>
              <w:right w:val="single" w:sz="4" w:space="0" w:color="333333"/>
            </w:tcBorders>
            <w:shd w:val="clear" w:color="auto" w:fill="auto"/>
            <w:noWrap/>
            <w:hideMark/>
          </w:tcPr>
          <w:p w14:paraId="41E119E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83</w:t>
            </w:r>
          </w:p>
        </w:tc>
        <w:tc>
          <w:tcPr>
            <w:tcW w:w="1767" w:type="dxa"/>
            <w:tcBorders>
              <w:top w:val="nil"/>
              <w:left w:val="nil"/>
              <w:bottom w:val="single" w:sz="4" w:space="0" w:color="C0C0C0"/>
              <w:right w:val="single" w:sz="4" w:space="0" w:color="auto"/>
            </w:tcBorders>
            <w:shd w:val="clear" w:color="auto" w:fill="auto"/>
            <w:noWrap/>
            <w:hideMark/>
          </w:tcPr>
          <w:p w14:paraId="73AC885D"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43.0%</w:t>
            </w:r>
          </w:p>
        </w:tc>
      </w:tr>
      <w:tr w:rsidR="00E15C05" w:rsidRPr="007170B2" w14:paraId="405744FE"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1CD0480B"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7D689447"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217</w:t>
            </w:r>
          </w:p>
        </w:tc>
        <w:tc>
          <w:tcPr>
            <w:tcW w:w="1763" w:type="dxa"/>
            <w:tcBorders>
              <w:top w:val="nil"/>
              <w:left w:val="nil"/>
              <w:bottom w:val="single" w:sz="4" w:space="0" w:color="C0C0C0"/>
              <w:right w:val="single" w:sz="4" w:space="0" w:color="333333"/>
            </w:tcBorders>
            <w:shd w:val="clear" w:color="auto" w:fill="auto"/>
            <w:noWrap/>
            <w:hideMark/>
          </w:tcPr>
          <w:p w14:paraId="300D502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105</w:t>
            </w:r>
          </w:p>
        </w:tc>
        <w:tc>
          <w:tcPr>
            <w:tcW w:w="1763" w:type="dxa"/>
            <w:tcBorders>
              <w:top w:val="nil"/>
              <w:left w:val="nil"/>
              <w:bottom w:val="single" w:sz="4" w:space="0" w:color="C0C0C0"/>
              <w:right w:val="single" w:sz="4" w:space="0" w:color="333333"/>
            </w:tcBorders>
            <w:shd w:val="clear" w:color="auto" w:fill="auto"/>
            <w:noWrap/>
            <w:hideMark/>
          </w:tcPr>
          <w:p w14:paraId="09C95C8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112</w:t>
            </w:r>
          </w:p>
        </w:tc>
        <w:tc>
          <w:tcPr>
            <w:tcW w:w="1767" w:type="dxa"/>
            <w:tcBorders>
              <w:top w:val="nil"/>
              <w:left w:val="nil"/>
              <w:bottom w:val="single" w:sz="4" w:space="0" w:color="C0C0C0"/>
              <w:right w:val="single" w:sz="4" w:space="0" w:color="auto"/>
            </w:tcBorders>
            <w:shd w:val="clear" w:color="auto" w:fill="auto"/>
            <w:noWrap/>
            <w:hideMark/>
          </w:tcPr>
          <w:p w14:paraId="0CEECDBB"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51.6%</w:t>
            </w:r>
          </w:p>
        </w:tc>
      </w:tr>
      <w:tr w:rsidR="00E15C05" w:rsidRPr="007170B2" w14:paraId="693FBB02" w14:textId="77777777" w:rsidTr="00563DDD">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6EFE97BE" w14:textId="77777777" w:rsidR="00E15C05" w:rsidRPr="007170B2" w:rsidRDefault="00E15C05" w:rsidP="007C1AF5">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38103B3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61BBF203"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024038CE"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74CFF6E6" w14:textId="77777777" w:rsidR="00E15C05" w:rsidRPr="007170B2" w:rsidRDefault="00E15C05" w:rsidP="007C1AF5">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r w:rsidR="006404D4" w:rsidRPr="007170B2" w14:paraId="6D9F103B" w14:textId="77777777" w:rsidTr="00563DDD">
        <w:trPr>
          <w:trHeight w:val="299"/>
        </w:trPr>
        <w:tc>
          <w:tcPr>
            <w:tcW w:w="2161" w:type="dxa"/>
            <w:tcBorders>
              <w:top w:val="single" w:sz="4" w:space="0" w:color="auto"/>
              <w:left w:val="single" w:sz="4" w:space="0" w:color="auto"/>
              <w:bottom w:val="single" w:sz="4" w:space="0" w:color="auto"/>
              <w:right w:val="nil"/>
            </w:tcBorders>
            <w:shd w:val="clear" w:color="auto" w:fill="auto"/>
            <w:hideMark/>
          </w:tcPr>
          <w:p w14:paraId="4CF62A65" w14:textId="77777777" w:rsidR="006404D4" w:rsidRPr="007170B2" w:rsidRDefault="006404D4" w:rsidP="006404D4">
            <w:pPr>
              <w:spacing w:after="0" w:line="240" w:lineRule="auto"/>
              <w:rPr>
                <w:rFonts w:ascii="Arial" w:eastAsia="Times New Roman" w:hAnsi="Arial" w:cs="Arial"/>
                <w:b/>
                <w:bCs/>
                <w:color w:val="333399"/>
                <w:sz w:val="18"/>
                <w:szCs w:val="18"/>
              </w:rPr>
            </w:pPr>
            <w:r w:rsidRPr="007170B2">
              <w:rPr>
                <w:rFonts w:ascii="Arial" w:eastAsia="Times New Roman" w:hAnsi="Arial" w:cs="Arial"/>
                <w:b/>
                <w:bCs/>
                <w:color w:val="333399"/>
              </w:rPr>
              <w:t>COL4A3BP</w:t>
            </w:r>
          </w:p>
        </w:tc>
        <w:tc>
          <w:tcPr>
            <w:tcW w:w="1763" w:type="dxa"/>
            <w:tcBorders>
              <w:top w:val="single" w:sz="4" w:space="0" w:color="auto"/>
              <w:left w:val="nil"/>
              <w:bottom w:val="single" w:sz="4" w:space="0" w:color="auto"/>
              <w:right w:val="single" w:sz="4" w:space="0" w:color="auto"/>
            </w:tcBorders>
            <w:shd w:val="clear" w:color="auto" w:fill="auto"/>
            <w:noWrap/>
            <w:vAlign w:val="bottom"/>
            <w:hideMark/>
          </w:tcPr>
          <w:p w14:paraId="1AC54966" w14:textId="77777777" w:rsidR="006404D4" w:rsidRPr="007170B2" w:rsidRDefault="006404D4" w:rsidP="006404D4">
            <w:pPr>
              <w:spacing w:after="0" w:line="240" w:lineRule="auto"/>
              <w:rPr>
                <w:rFonts w:ascii="Arial" w:eastAsia="Times New Roman" w:hAnsi="Arial" w:cs="Arial"/>
                <w:b/>
                <w:bCs/>
                <w:color w:val="1F3864" w:themeColor="accent5" w:themeShade="80"/>
              </w:rPr>
            </w:pPr>
          </w:p>
        </w:tc>
        <w:tc>
          <w:tcPr>
            <w:tcW w:w="1763" w:type="dxa"/>
            <w:tcBorders>
              <w:top w:val="single" w:sz="4" w:space="0" w:color="auto"/>
              <w:left w:val="single" w:sz="4" w:space="0" w:color="auto"/>
              <w:bottom w:val="single" w:sz="4" w:space="0" w:color="auto"/>
            </w:tcBorders>
            <w:shd w:val="clear" w:color="auto" w:fill="auto"/>
            <w:noWrap/>
            <w:vAlign w:val="bottom"/>
            <w:hideMark/>
          </w:tcPr>
          <w:p w14:paraId="1D9D8654" w14:textId="2ECDE307"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c>
          <w:tcPr>
            <w:tcW w:w="1763" w:type="dxa"/>
            <w:tcBorders>
              <w:top w:val="single" w:sz="4" w:space="0" w:color="auto"/>
              <w:bottom w:val="single" w:sz="4" w:space="0" w:color="auto"/>
            </w:tcBorders>
            <w:shd w:val="clear" w:color="auto" w:fill="auto"/>
            <w:noWrap/>
            <w:vAlign w:val="bottom"/>
            <w:hideMark/>
          </w:tcPr>
          <w:p w14:paraId="3F3707CD" w14:textId="2B8B62A1"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c>
          <w:tcPr>
            <w:tcW w:w="1767" w:type="dxa"/>
            <w:tcBorders>
              <w:top w:val="single" w:sz="4" w:space="0" w:color="auto"/>
              <w:bottom w:val="single" w:sz="4" w:space="0" w:color="auto"/>
              <w:right w:val="single" w:sz="4" w:space="0" w:color="auto"/>
            </w:tcBorders>
            <w:shd w:val="clear" w:color="auto" w:fill="auto"/>
            <w:noWrap/>
            <w:vAlign w:val="bottom"/>
            <w:hideMark/>
          </w:tcPr>
          <w:p w14:paraId="3D3321A8" w14:textId="1D538139" w:rsidR="006404D4" w:rsidRPr="007170B2" w:rsidRDefault="006404D4" w:rsidP="006404D4">
            <w:pPr>
              <w:spacing w:after="0" w:line="240" w:lineRule="auto"/>
              <w:rPr>
                <w:rFonts w:ascii="Times New Roman" w:eastAsia="Times New Roman" w:hAnsi="Times New Roman" w:cs="Times New Roman"/>
                <w:color w:val="1F3864" w:themeColor="accent5" w:themeShade="80"/>
              </w:rPr>
            </w:pPr>
            <w:r w:rsidRPr="007170B2">
              <w:rPr>
                <w:rFonts w:ascii="Arial" w:eastAsia="Times New Roman" w:hAnsi="Arial" w:cs="Arial"/>
                <w:color w:val="1F3864" w:themeColor="accent5" w:themeShade="80"/>
              </w:rPr>
              <w:t> </w:t>
            </w:r>
          </w:p>
        </w:tc>
      </w:tr>
      <w:tr w:rsidR="006404D4" w:rsidRPr="007170B2" w14:paraId="255E29C0" w14:textId="77777777" w:rsidTr="00563DDD">
        <w:trPr>
          <w:trHeight w:val="299"/>
        </w:trPr>
        <w:tc>
          <w:tcPr>
            <w:tcW w:w="2161" w:type="dxa"/>
            <w:tcBorders>
              <w:top w:val="single" w:sz="4" w:space="0" w:color="auto"/>
              <w:left w:val="single" w:sz="4" w:space="0" w:color="auto"/>
              <w:bottom w:val="single" w:sz="4" w:space="0" w:color="C0C0C0"/>
              <w:right w:val="nil"/>
            </w:tcBorders>
            <w:shd w:val="clear" w:color="000000" w:fill="CCCCFF"/>
            <w:hideMark/>
          </w:tcPr>
          <w:p w14:paraId="0A3E9E59"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A-Norm</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1F4D7A00"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133</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7A4E1848"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72</w:t>
            </w:r>
          </w:p>
        </w:tc>
        <w:tc>
          <w:tcPr>
            <w:tcW w:w="1763" w:type="dxa"/>
            <w:tcBorders>
              <w:top w:val="single" w:sz="4" w:space="0" w:color="auto"/>
              <w:left w:val="nil"/>
              <w:bottom w:val="single" w:sz="4" w:space="0" w:color="C0C0C0"/>
              <w:right w:val="single" w:sz="4" w:space="0" w:color="333333"/>
            </w:tcBorders>
            <w:shd w:val="clear" w:color="auto" w:fill="auto"/>
            <w:noWrap/>
            <w:hideMark/>
          </w:tcPr>
          <w:p w14:paraId="21066A89"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61</w:t>
            </w:r>
          </w:p>
        </w:tc>
        <w:tc>
          <w:tcPr>
            <w:tcW w:w="1767" w:type="dxa"/>
            <w:tcBorders>
              <w:top w:val="single" w:sz="4" w:space="0" w:color="auto"/>
              <w:left w:val="nil"/>
              <w:bottom w:val="single" w:sz="4" w:space="0" w:color="C0C0C0"/>
              <w:right w:val="single" w:sz="4" w:space="0" w:color="auto"/>
            </w:tcBorders>
            <w:shd w:val="clear" w:color="auto" w:fill="auto"/>
            <w:noWrap/>
            <w:hideMark/>
          </w:tcPr>
          <w:p w14:paraId="0E31BE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45.9%</w:t>
            </w:r>
          </w:p>
        </w:tc>
      </w:tr>
      <w:tr w:rsidR="006404D4" w:rsidRPr="007170B2" w14:paraId="2EC69980"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287470CF"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B-Del</w:t>
            </w:r>
          </w:p>
        </w:tc>
        <w:tc>
          <w:tcPr>
            <w:tcW w:w="1763" w:type="dxa"/>
            <w:tcBorders>
              <w:top w:val="nil"/>
              <w:left w:val="nil"/>
              <w:bottom w:val="single" w:sz="4" w:space="0" w:color="C0C0C0"/>
              <w:right w:val="single" w:sz="4" w:space="0" w:color="333333"/>
            </w:tcBorders>
            <w:shd w:val="clear" w:color="auto" w:fill="auto"/>
            <w:noWrap/>
            <w:hideMark/>
          </w:tcPr>
          <w:p w14:paraId="161888A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410</w:t>
            </w:r>
          </w:p>
        </w:tc>
        <w:tc>
          <w:tcPr>
            <w:tcW w:w="1763" w:type="dxa"/>
            <w:tcBorders>
              <w:top w:val="nil"/>
              <w:left w:val="nil"/>
              <w:bottom w:val="single" w:sz="4" w:space="0" w:color="C0C0C0"/>
              <w:right w:val="single" w:sz="4" w:space="0" w:color="333333"/>
            </w:tcBorders>
            <w:shd w:val="clear" w:color="auto" w:fill="auto"/>
            <w:noWrap/>
            <w:hideMark/>
          </w:tcPr>
          <w:p w14:paraId="463FEF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207</w:t>
            </w:r>
          </w:p>
        </w:tc>
        <w:tc>
          <w:tcPr>
            <w:tcW w:w="1763" w:type="dxa"/>
            <w:tcBorders>
              <w:top w:val="nil"/>
              <w:left w:val="nil"/>
              <w:bottom w:val="single" w:sz="4" w:space="0" w:color="C0C0C0"/>
              <w:right w:val="single" w:sz="4" w:space="0" w:color="333333"/>
            </w:tcBorders>
            <w:shd w:val="clear" w:color="auto" w:fill="auto"/>
            <w:noWrap/>
            <w:hideMark/>
          </w:tcPr>
          <w:p w14:paraId="1DCC1505"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203</w:t>
            </w:r>
          </w:p>
        </w:tc>
        <w:tc>
          <w:tcPr>
            <w:tcW w:w="1767" w:type="dxa"/>
            <w:tcBorders>
              <w:top w:val="nil"/>
              <w:left w:val="nil"/>
              <w:bottom w:val="single" w:sz="4" w:space="0" w:color="C0C0C0"/>
              <w:right w:val="single" w:sz="4" w:space="0" w:color="auto"/>
            </w:tcBorders>
            <w:shd w:val="clear" w:color="auto" w:fill="auto"/>
            <w:noWrap/>
            <w:hideMark/>
          </w:tcPr>
          <w:p w14:paraId="394F3590"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49.5%</w:t>
            </w:r>
          </w:p>
        </w:tc>
      </w:tr>
      <w:tr w:rsidR="006404D4" w:rsidRPr="007170B2" w14:paraId="4C65A628" w14:textId="77777777" w:rsidTr="006404D4">
        <w:trPr>
          <w:trHeight w:val="299"/>
        </w:trPr>
        <w:tc>
          <w:tcPr>
            <w:tcW w:w="2161" w:type="dxa"/>
            <w:tcBorders>
              <w:top w:val="nil"/>
              <w:left w:val="single" w:sz="4" w:space="0" w:color="auto"/>
              <w:bottom w:val="single" w:sz="4" w:space="0" w:color="C0C0C0"/>
              <w:right w:val="nil"/>
            </w:tcBorders>
            <w:shd w:val="clear" w:color="000000" w:fill="CCCCFF"/>
            <w:hideMark/>
          </w:tcPr>
          <w:p w14:paraId="13FB8238"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C-Dup</w:t>
            </w:r>
          </w:p>
        </w:tc>
        <w:tc>
          <w:tcPr>
            <w:tcW w:w="1763" w:type="dxa"/>
            <w:tcBorders>
              <w:top w:val="nil"/>
              <w:left w:val="nil"/>
              <w:bottom w:val="single" w:sz="4" w:space="0" w:color="C0C0C0"/>
              <w:right w:val="single" w:sz="4" w:space="0" w:color="333333"/>
            </w:tcBorders>
            <w:shd w:val="clear" w:color="auto" w:fill="auto"/>
            <w:noWrap/>
            <w:hideMark/>
          </w:tcPr>
          <w:p w14:paraId="32BF5318"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21</w:t>
            </w:r>
          </w:p>
        </w:tc>
        <w:tc>
          <w:tcPr>
            <w:tcW w:w="1763" w:type="dxa"/>
            <w:tcBorders>
              <w:top w:val="nil"/>
              <w:left w:val="nil"/>
              <w:bottom w:val="single" w:sz="4" w:space="0" w:color="C0C0C0"/>
              <w:right w:val="single" w:sz="4" w:space="0" w:color="333333"/>
            </w:tcBorders>
            <w:shd w:val="clear" w:color="auto" w:fill="auto"/>
            <w:noWrap/>
            <w:hideMark/>
          </w:tcPr>
          <w:p w14:paraId="70E394C2"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12</w:t>
            </w:r>
          </w:p>
        </w:tc>
        <w:tc>
          <w:tcPr>
            <w:tcW w:w="1763" w:type="dxa"/>
            <w:tcBorders>
              <w:top w:val="nil"/>
              <w:left w:val="nil"/>
              <w:bottom w:val="single" w:sz="4" w:space="0" w:color="C0C0C0"/>
              <w:right w:val="single" w:sz="4" w:space="0" w:color="333333"/>
            </w:tcBorders>
            <w:shd w:val="clear" w:color="auto" w:fill="auto"/>
            <w:noWrap/>
            <w:hideMark/>
          </w:tcPr>
          <w:p w14:paraId="65CEDCE5"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9</w:t>
            </w:r>
          </w:p>
        </w:tc>
        <w:tc>
          <w:tcPr>
            <w:tcW w:w="1767" w:type="dxa"/>
            <w:tcBorders>
              <w:top w:val="nil"/>
              <w:left w:val="nil"/>
              <w:bottom w:val="single" w:sz="4" w:space="0" w:color="C0C0C0"/>
              <w:right w:val="single" w:sz="4" w:space="0" w:color="auto"/>
            </w:tcBorders>
            <w:shd w:val="clear" w:color="auto" w:fill="auto"/>
            <w:noWrap/>
            <w:hideMark/>
          </w:tcPr>
          <w:p w14:paraId="4BFD384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42.9%</w:t>
            </w:r>
          </w:p>
        </w:tc>
      </w:tr>
      <w:tr w:rsidR="006404D4" w:rsidRPr="007170B2" w14:paraId="2AFE72EC" w14:textId="77777777" w:rsidTr="006404D4">
        <w:trPr>
          <w:trHeight w:val="299"/>
        </w:trPr>
        <w:tc>
          <w:tcPr>
            <w:tcW w:w="2161" w:type="dxa"/>
            <w:tcBorders>
              <w:top w:val="nil"/>
              <w:left w:val="single" w:sz="4" w:space="0" w:color="auto"/>
              <w:bottom w:val="single" w:sz="4" w:space="0" w:color="auto"/>
              <w:right w:val="nil"/>
            </w:tcBorders>
            <w:shd w:val="clear" w:color="auto" w:fill="D0CECE" w:themeFill="background2" w:themeFillShade="E6"/>
            <w:hideMark/>
          </w:tcPr>
          <w:p w14:paraId="72A4319B" w14:textId="77777777" w:rsidR="006404D4" w:rsidRPr="007170B2" w:rsidRDefault="006404D4" w:rsidP="006404D4">
            <w:pPr>
              <w:spacing w:after="0" w:line="240" w:lineRule="auto"/>
              <w:rPr>
                <w:rFonts w:ascii="Arial" w:eastAsia="Times New Roman" w:hAnsi="Arial" w:cs="Arial"/>
                <w:color w:val="333399"/>
                <w:sz w:val="20"/>
                <w:szCs w:val="20"/>
              </w:rPr>
            </w:pPr>
            <w:r w:rsidRPr="007170B2">
              <w:rPr>
                <w:rFonts w:ascii="Arial" w:eastAsia="Times New Roman" w:hAnsi="Arial" w:cs="Arial"/>
                <w:color w:val="333399"/>
                <w:sz w:val="20"/>
                <w:szCs w:val="20"/>
              </w:rPr>
              <w:t>Overall</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201008C9"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564</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222DDC11"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291</w:t>
            </w:r>
          </w:p>
        </w:tc>
        <w:tc>
          <w:tcPr>
            <w:tcW w:w="1763" w:type="dxa"/>
            <w:tcBorders>
              <w:top w:val="nil"/>
              <w:left w:val="nil"/>
              <w:bottom w:val="single" w:sz="4" w:space="0" w:color="auto"/>
              <w:right w:val="single" w:sz="4" w:space="0" w:color="333333"/>
            </w:tcBorders>
            <w:shd w:val="clear" w:color="auto" w:fill="D0CECE" w:themeFill="background2" w:themeFillShade="E6"/>
            <w:noWrap/>
            <w:hideMark/>
          </w:tcPr>
          <w:p w14:paraId="546031DF"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273</w:t>
            </w:r>
          </w:p>
        </w:tc>
        <w:tc>
          <w:tcPr>
            <w:tcW w:w="1767" w:type="dxa"/>
            <w:tcBorders>
              <w:top w:val="nil"/>
              <w:left w:val="nil"/>
              <w:bottom w:val="single" w:sz="4" w:space="0" w:color="auto"/>
              <w:right w:val="single" w:sz="4" w:space="0" w:color="auto"/>
            </w:tcBorders>
            <w:shd w:val="clear" w:color="auto" w:fill="D0CECE" w:themeFill="background2" w:themeFillShade="E6"/>
            <w:noWrap/>
            <w:hideMark/>
          </w:tcPr>
          <w:p w14:paraId="09660C9C" w14:textId="77777777" w:rsidR="006404D4" w:rsidRPr="007170B2" w:rsidRDefault="006404D4" w:rsidP="006404D4">
            <w:pPr>
              <w:spacing w:after="0" w:line="240" w:lineRule="auto"/>
              <w:jc w:val="right"/>
              <w:rPr>
                <w:rFonts w:ascii="Arial" w:eastAsia="Times New Roman" w:hAnsi="Arial" w:cs="Arial"/>
                <w:color w:val="1F3864" w:themeColor="accent5" w:themeShade="80"/>
              </w:rPr>
            </w:pPr>
            <w:r w:rsidRPr="007170B2">
              <w:rPr>
                <w:rFonts w:ascii="Arial" w:eastAsia="Times New Roman" w:hAnsi="Arial" w:cs="Arial"/>
                <w:color w:val="1F3864" w:themeColor="accent5" w:themeShade="80"/>
              </w:rPr>
              <w:t>48.4%</w:t>
            </w:r>
          </w:p>
        </w:tc>
      </w:tr>
    </w:tbl>
    <w:p w14:paraId="2C227ECF" w14:textId="77777777" w:rsidR="00485108" w:rsidRDefault="00485108" w:rsidP="00AB7ECA">
      <w:pPr>
        <w:shd w:val="clear" w:color="auto" w:fill="FFFFFF"/>
        <w:spacing w:line="480" w:lineRule="auto"/>
        <w:ind w:firstLine="720"/>
        <w:rPr>
          <w:rFonts w:ascii="Times New Roman" w:eastAsia="SimSun" w:hAnsi="Times New Roman" w:cs="Times New Roman"/>
          <w:sz w:val="24"/>
          <w:szCs w:val="24"/>
        </w:rPr>
      </w:pPr>
    </w:p>
    <w:p w14:paraId="2D3B713C" w14:textId="60FEDAF3"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5EC01751" w14:textId="5C766555" w:rsidR="00104BCF" w:rsidRDefault="00104BCF"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It is important to mention that the log-rank test is used instead of the Prentice modified Wilcoxon test, which is more sensitive and may make this study </w:t>
      </w:r>
      <w:r w:rsidR="000005D9">
        <w:rPr>
          <w:rFonts w:ascii="Times New Roman" w:eastAsia="SimSun" w:hAnsi="Times New Roman" w:cs="Times New Roman"/>
          <w:sz w:val="24"/>
          <w:szCs w:val="24"/>
        </w:rPr>
        <w:t xml:space="preserve">more </w:t>
      </w:r>
      <w:r>
        <w:rPr>
          <w:rFonts w:ascii="Times New Roman" w:eastAsia="SimSun" w:hAnsi="Times New Roman" w:cs="Times New Roman"/>
          <w:sz w:val="24"/>
          <w:szCs w:val="24"/>
        </w:rPr>
        <w:t xml:space="preserve">susceptible to </w:t>
      </w:r>
      <w:r w:rsidR="0041077E">
        <w:rPr>
          <w:rFonts w:ascii="Times New Roman" w:eastAsia="SimSun" w:hAnsi="Times New Roman" w:cs="Times New Roman"/>
          <w:sz w:val="24"/>
          <w:szCs w:val="24"/>
        </w:rPr>
        <w:t>type-I</w:t>
      </w:r>
      <w:r>
        <w:rPr>
          <w:rFonts w:ascii="Times New Roman" w:eastAsia="SimSun" w:hAnsi="Times New Roman" w:cs="Times New Roman"/>
          <w:sz w:val="24"/>
          <w:szCs w:val="24"/>
        </w:rPr>
        <w:t xml:space="preserve"> error bias</w:t>
      </w:r>
      <w:r w:rsidR="00C76913">
        <w:rPr>
          <w:rFonts w:ascii="Times New Roman" w:eastAsia="SimSun" w:hAnsi="Times New Roman" w:cs="Times New Roman"/>
          <w:sz w:val="24"/>
          <w:szCs w:val="24"/>
        </w:rPr>
        <w:t xml:space="preserve"> (</w:t>
      </w:r>
      <w:proofErr w:type="spellStart"/>
      <w:r w:rsidR="00C76913">
        <w:rPr>
          <w:rFonts w:ascii="Times New Roman" w:eastAsia="SimSun" w:hAnsi="Times New Roman" w:cs="Times New Roman"/>
          <w:sz w:val="24"/>
          <w:szCs w:val="24"/>
        </w:rPr>
        <w:t>Peto</w:t>
      </w:r>
      <w:proofErr w:type="spellEnd"/>
      <w:r w:rsidR="00C76913">
        <w:rPr>
          <w:rFonts w:ascii="Times New Roman" w:eastAsia="SimSun" w:hAnsi="Times New Roman" w:cs="Times New Roman"/>
          <w:sz w:val="24"/>
          <w:szCs w:val="24"/>
        </w:rPr>
        <w:t xml:space="preserve"> &amp; </w:t>
      </w:r>
      <w:proofErr w:type="spellStart"/>
      <w:r w:rsidR="00C76913">
        <w:rPr>
          <w:rFonts w:ascii="Times New Roman" w:eastAsia="SimSun" w:hAnsi="Times New Roman" w:cs="Times New Roman"/>
          <w:sz w:val="24"/>
          <w:szCs w:val="24"/>
        </w:rPr>
        <w:t>Peto</w:t>
      </w:r>
      <w:proofErr w:type="spellEnd"/>
      <w:r w:rsidR="00C76913">
        <w:rPr>
          <w:rFonts w:ascii="Times New Roman" w:eastAsia="SimSun" w:hAnsi="Times New Roman" w:cs="Times New Roman"/>
          <w:sz w:val="24"/>
          <w:szCs w:val="24"/>
        </w:rPr>
        <w:t>, 1972</w:t>
      </w:r>
      <w:r w:rsidR="002217E5">
        <w:rPr>
          <w:rFonts w:ascii="Times New Roman" w:eastAsia="SimSun" w:hAnsi="Times New Roman" w:cs="Times New Roman"/>
          <w:sz w:val="24"/>
          <w:szCs w:val="24"/>
        </w:rPr>
        <w:t xml:space="preserve">; </w:t>
      </w:r>
      <w:proofErr w:type="spellStart"/>
      <w:r w:rsidR="002217E5">
        <w:rPr>
          <w:rFonts w:ascii="Times New Roman" w:eastAsia="SimSun" w:hAnsi="Times New Roman" w:cs="Times New Roman"/>
          <w:sz w:val="24"/>
          <w:szCs w:val="24"/>
        </w:rPr>
        <w:t>Kalbfleisch</w:t>
      </w:r>
      <w:proofErr w:type="spellEnd"/>
      <w:r w:rsidR="002217E5">
        <w:rPr>
          <w:rFonts w:ascii="Times New Roman" w:eastAsia="SimSun" w:hAnsi="Times New Roman" w:cs="Times New Roman"/>
          <w:sz w:val="24"/>
          <w:szCs w:val="24"/>
        </w:rPr>
        <w:t xml:space="preserve"> &amp; Prentice, 1980/2002</w:t>
      </w:r>
      <w:r w:rsidR="00C76913">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006D22A3">
        <w:rPr>
          <w:rFonts w:ascii="Times New Roman" w:eastAsia="SimSun" w:hAnsi="Times New Roman" w:cs="Times New Roman"/>
          <w:sz w:val="24"/>
          <w:szCs w:val="24"/>
        </w:rPr>
        <w:t xml:space="preserve">The Wilcoxon test is more sensitive as it compares weights of each event by the number of </w:t>
      </w:r>
      <w:proofErr w:type="gramStart"/>
      <w:r w:rsidR="006D22A3">
        <w:rPr>
          <w:rFonts w:ascii="Times New Roman" w:eastAsia="SimSun" w:hAnsi="Times New Roman" w:cs="Times New Roman"/>
          <w:sz w:val="24"/>
          <w:szCs w:val="24"/>
        </w:rPr>
        <w:t>population</w:t>
      </w:r>
      <w:proofErr w:type="gramEnd"/>
      <w:r w:rsidR="006D22A3">
        <w:rPr>
          <w:rFonts w:ascii="Times New Roman" w:eastAsia="SimSun" w:hAnsi="Times New Roman" w:cs="Times New Roman"/>
          <w:sz w:val="24"/>
          <w:szCs w:val="24"/>
        </w:rPr>
        <w:t xml:space="preserve"> at risk at event time, rather than weighing all events equally </w:t>
      </w:r>
      <w:r w:rsidR="000D03AF">
        <w:rPr>
          <w:rFonts w:ascii="Times New Roman" w:eastAsia="SimSun" w:hAnsi="Times New Roman" w:cs="Times New Roman"/>
          <w:sz w:val="24"/>
          <w:szCs w:val="24"/>
        </w:rPr>
        <w:t>like</w:t>
      </w:r>
      <w:r w:rsidR="006D22A3">
        <w:rPr>
          <w:rFonts w:ascii="Times New Roman" w:eastAsia="SimSun" w:hAnsi="Times New Roman" w:cs="Times New Roman"/>
          <w:sz w:val="24"/>
          <w:szCs w:val="24"/>
        </w:rPr>
        <w:t xml:space="preserve"> the log-rank test</w:t>
      </w:r>
      <w:r w:rsidR="009E3563">
        <w:rPr>
          <w:rFonts w:ascii="Times New Roman" w:eastAsia="SimSun" w:hAnsi="Times New Roman" w:cs="Times New Roman"/>
          <w:sz w:val="24"/>
          <w:szCs w:val="24"/>
        </w:rPr>
        <w:t xml:space="preserve"> (</w:t>
      </w:r>
      <w:proofErr w:type="spellStart"/>
      <w:r w:rsidR="009E3563">
        <w:rPr>
          <w:rFonts w:ascii="Times New Roman" w:eastAsia="SimSun" w:hAnsi="Times New Roman" w:cs="Times New Roman"/>
          <w:sz w:val="24"/>
          <w:szCs w:val="24"/>
        </w:rPr>
        <w:t>Visintainer</w:t>
      </w:r>
      <w:proofErr w:type="spellEnd"/>
      <w:r w:rsidR="009E3563">
        <w:rPr>
          <w:rFonts w:ascii="Times New Roman" w:eastAsia="SimSun" w:hAnsi="Times New Roman" w:cs="Times New Roman"/>
          <w:sz w:val="24"/>
          <w:szCs w:val="24"/>
        </w:rPr>
        <w:t>, 2016)</w:t>
      </w:r>
      <w:r w:rsidR="006D22A3">
        <w:rPr>
          <w:rFonts w:ascii="Times New Roman" w:eastAsia="SimSun" w:hAnsi="Times New Roman" w:cs="Times New Roman"/>
          <w:sz w:val="24"/>
          <w:szCs w:val="24"/>
        </w:rPr>
        <w:t>.</w:t>
      </w:r>
      <w:r w:rsidR="009E3563">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The </w:t>
      </w:r>
      <w:r w:rsidR="00E469A5">
        <w:rPr>
          <w:rFonts w:ascii="Times New Roman" w:eastAsia="SimSun" w:hAnsi="Times New Roman" w:cs="Times New Roman"/>
          <w:sz w:val="24"/>
          <w:szCs w:val="24"/>
        </w:rPr>
        <w:t xml:space="preserve">use of the </w:t>
      </w:r>
      <w:r>
        <w:rPr>
          <w:rFonts w:ascii="Times New Roman" w:eastAsia="SimSun" w:hAnsi="Times New Roman" w:cs="Times New Roman"/>
          <w:sz w:val="24"/>
          <w:szCs w:val="24"/>
        </w:rPr>
        <w:t xml:space="preserve">log-rank test helps </w:t>
      </w:r>
      <w:r w:rsidR="002013B8">
        <w:rPr>
          <w:rFonts w:ascii="Times New Roman" w:eastAsia="SimSun" w:hAnsi="Times New Roman" w:cs="Times New Roman"/>
          <w:sz w:val="24"/>
          <w:szCs w:val="24"/>
        </w:rPr>
        <w:t>control for this</w:t>
      </w:r>
      <w:r w:rsidR="00E469A5">
        <w:rPr>
          <w:rFonts w:ascii="Times New Roman" w:eastAsia="SimSun" w:hAnsi="Times New Roman" w:cs="Times New Roman"/>
          <w:sz w:val="24"/>
          <w:szCs w:val="24"/>
        </w:rPr>
        <w:t xml:space="preserve"> </w:t>
      </w:r>
      <w:r w:rsidR="0041077E">
        <w:rPr>
          <w:rFonts w:ascii="Times New Roman" w:eastAsia="SimSun" w:hAnsi="Times New Roman" w:cs="Times New Roman"/>
          <w:sz w:val="24"/>
          <w:szCs w:val="24"/>
        </w:rPr>
        <w:t>type-I</w:t>
      </w:r>
      <w:r w:rsidR="00E469A5">
        <w:rPr>
          <w:rFonts w:ascii="Times New Roman" w:eastAsia="SimSun" w:hAnsi="Times New Roman" w:cs="Times New Roman"/>
          <w:sz w:val="24"/>
          <w:szCs w:val="24"/>
        </w:rPr>
        <w:t xml:space="preserve"> error</w:t>
      </w:r>
      <w:r w:rsidR="002013B8">
        <w:rPr>
          <w:rFonts w:ascii="Times New Roman" w:eastAsia="SimSun" w:hAnsi="Times New Roman" w:cs="Times New Roman"/>
          <w:sz w:val="24"/>
          <w:szCs w:val="24"/>
        </w:rPr>
        <w:t xml:space="preserve"> bias</w:t>
      </w:r>
      <w:r w:rsidR="006D22A3">
        <w:rPr>
          <w:rFonts w:ascii="Times New Roman" w:eastAsia="SimSun" w:hAnsi="Times New Roman" w:cs="Times New Roman"/>
          <w:sz w:val="24"/>
          <w:szCs w:val="24"/>
        </w:rPr>
        <w:t>.</w:t>
      </w:r>
    </w:p>
    <w:p w14:paraId="4AC2063E" w14:textId="5FCB1068" w:rsidR="00FA40A6" w:rsidRDefault="0035062B" w:rsidP="00AB7ECA">
      <w:pPr>
        <w:shd w:val="clear" w:color="auto" w:fill="FFFFFF"/>
        <w:spacing w:line="480" w:lineRule="auto"/>
        <w:ind w:firstLine="720"/>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Another topic worth</w:t>
      </w:r>
      <w:r w:rsidR="00F2053F" w:rsidRPr="0035062B">
        <w:rPr>
          <w:rFonts w:ascii="Times New Roman" w:eastAsia="SimSun" w:hAnsi="Times New Roman" w:cs="Times New Roman"/>
          <w:color w:val="000000" w:themeColor="text1"/>
          <w:sz w:val="24"/>
          <w:szCs w:val="24"/>
        </w:rPr>
        <w:t xml:space="preserve"> mention</w:t>
      </w:r>
      <w:r>
        <w:rPr>
          <w:rFonts w:ascii="Times New Roman" w:eastAsia="SimSun" w:hAnsi="Times New Roman" w:cs="Times New Roman"/>
          <w:color w:val="000000" w:themeColor="text1"/>
          <w:sz w:val="24"/>
          <w:szCs w:val="24"/>
        </w:rPr>
        <w:t>ing</w:t>
      </w:r>
      <w:r w:rsidR="00F2053F" w:rsidRPr="0035062B">
        <w:rPr>
          <w:rFonts w:ascii="Times New Roman" w:eastAsia="SimSun" w:hAnsi="Times New Roman" w:cs="Times New Roman"/>
          <w:color w:val="000000" w:themeColor="text1"/>
          <w:sz w:val="24"/>
          <w:szCs w:val="24"/>
        </w:rPr>
        <w:t xml:space="preserve"> </w:t>
      </w:r>
      <w:r w:rsidR="00630A7B">
        <w:rPr>
          <w:rFonts w:ascii="Times New Roman" w:eastAsia="SimSun" w:hAnsi="Times New Roman" w:cs="Times New Roman"/>
          <w:color w:val="000000" w:themeColor="text1"/>
          <w:sz w:val="24"/>
          <w:szCs w:val="24"/>
        </w:rPr>
        <w:t xml:space="preserve">is </w:t>
      </w:r>
      <w:r w:rsidR="00F2053F" w:rsidRPr="0035062B">
        <w:rPr>
          <w:rFonts w:ascii="Times New Roman" w:eastAsia="SimSun" w:hAnsi="Times New Roman" w:cs="Times New Roman"/>
          <w:color w:val="000000" w:themeColor="text1"/>
          <w:sz w:val="24"/>
          <w:szCs w:val="24"/>
        </w:rPr>
        <w:t>t</w:t>
      </w:r>
      <w:r w:rsidR="00FA40A6" w:rsidRPr="0035062B">
        <w:rPr>
          <w:rFonts w:ascii="Times New Roman" w:eastAsia="SimSun" w:hAnsi="Times New Roman" w:cs="Times New Roman"/>
          <w:color w:val="000000" w:themeColor="text1"/>
          <w:sz w:val="24"/>
          <w:szCs w:val="24"/>
        </w:rPr>
        <w:t xml:space="preserve">here are roughly five primary equations that can be used within </w:t>
      </w:r>
      <w:r w:rsidR="00352F89">
        <w:rPr>
          <w:rFonts w:ascii="Times New Roman" w:eastAsia="SimSun" w:hAnsi="Times New Roman" w:cs="Times New Roman"/>
          <w:color w:val="000000" w:themeColor="text1"/>
          <w:sz w:val="24"/>
          <w:szCs w:val="24"/>
        </w:rPr>
        <w:t>the Cox-proportional</w:t>
      </w:r>
      <w:r w:rsidR="00FA40A6" w:rsidRPr="0035062B">
        <w:rPr>
          <w:rFonts w:ascii="Times New Roman" w:eastAsia="SimSun" w:hAnsi="Times New Roman" w:cs="Times New Roman"/>
          <w:color w:val="000000" w:themeColor="text1"/>
          <w:sz w:val="24"/>
          <w:szCs w:val="24"/>
        </w:rPr>
        <w:t xml:space="preserve"> </w:t>
      </w:r>
      <w:r w:rsidR="00D741F2">
        <w:rPr>
          <w:rFonts w:ascii="Times New Roman" w:eastAsia="SimSun" w:hAnsi="Times New Roman" w:cs="Times New Roman"/>
          <w:color w:val="000000" w:themeColor="text1"/>
          <w:sz w:val="24"/>
          <w:szCs w:val="24"/>
        </w:rPr>
        <w:t>hazard model</w:t>
      </w:r>
      <w:r w:rsidR="00FA40A6" w:rsidRPr="0035062B">
        <w:rPr>
          <w:rFonts w:ascii="Times New Roman" w:eastAsia="SimSun" w:hAnsi="Times New Roman" w:cs="Times New Roman"/>
          <w:color w:val="000000" w:themeColor="text1"/>
          <w:sz w:val="24"/>
          <w:szCs w:val="24"/>
        </w:rPr>
        <w:t xml:space="preserve">, to which the </w:t>
      </w:r>
      <w:proofErr w:type="spellStart"/>
      <w:r w:rsidR="00FA40A6" w:rsidRPr="0035062B">
        <w:rPr>
          <w:rFonts w:ascii="Times New Roman" w:eastAsia="SimSun" w:hAnsi="Times New Roman" w:cs="Times New Roman"/>
          <w:color w:val="000000" w:themeColor="text1"/>
          <w:sz w:val="24"/>
          <w:szCs w:val="24"/>
        </w:rPr>
        <w:t>Efron</w:t>
      </w:r>
      <w:proofErr w:type="spellEnd"/>
      <w:r w:rsidR="00FA40A6" w:rsidRPr="0035062B">
        <w:rPr>
          <w:rFonts w:ascii="Times New Roman" w:eastAsia="SimSun" w:hAnsi="Times New Roman" w:cs="Times New Roman"/>
          <w:color w:val="000000" w:themeColor="text1"/>
          <w:sz w:val="24"/>
          <w:szCs w:val="24"/>
        </w:rPr>
        <w:t xml:space="preserve"> and Breslow </w:t>
      </w:r>
      <w:r w:rsidR="00D45E95">
        <w:rPr>
          <w:rFonts w:ascii="Times New Roman" w:eastAsia="SimSun" w:hAnsi="Times New Roman" w:cs="Times New Roman"/>
          <w:color w:val="000000" w:themeColor="text1"/>
          <w:sz w:val="24"/>
          <w:szCs w:val="24"/>
        </w:rPr>
        <w:t xml:space="preserve">methods </w:t>
      </w:r>
      <w:r w:rsidR="007752D5">
        <w:rPr>
          <w:rFonts w:ascii="Times New Roman" w:eastAsia="SimSun" w:hAnsi="Times New Roman" w:cs="Times New Roman"/>
          <w:color w:val="000000" w:themeColor="text1"/>
          <w:sz w:val="24"/>
          <w:szCs w:val="24"/>
        </w:rPr>
        <w:t xml:space="preserve">are </w:t>
      </w:r>
      <w:r w:rsidR="007752D5">
        <w:rPr>
          <w:rFonts w:ascii="Times New Roman" w:eastAsia="SimSun" w:hAnsi="Times New Roman" w:cs="Times New Roman"/>
          <w:color w:val="000000" w:themeColor="text1"/>
          <w:sz w:val="24"/>
          <w:szCs w:val="24"/>
        </w:rPr>
        <w:lastRenderedPageBreak/>
        <w:t xml:space="preserve">generally considered </w:t>
      </w:r>
      <w:r w:rsidR="00FA40A6" w:rsidRPr="0035062B">
        <w:rPr>
          <w:rFonts w:ascii="Times New Roman" w:eastAsia="SimSun" w:hAnsi="Times New Roman" w:cs="Times New Roman"/>
          <w:color w:val="000000" w:themeColor="text1"/>
          <w:sz w:val="24"/>
          <w:szCs w:val="24"/>
        </w:rPr>
        <w:t>to be the most common</w:t>
      </w:r>
      <w:r w:rsidR="000B3380" w:rsidRPr="0035062B">
        <w:rPr>
          <w:rFonts w:ascii="Times New Roman" w:eastAsia="SimSun" w:hAnsi="Times New Roman" w:cs="Times New Roman"/>
          <w:color w:val="000000" w:themeColor="text1"/>
          <w:sz w:val="24"/>
          <w:szCs w:val="24"/>
        </w:rPr>
        <w:t xml:space="preserve"> (Xu, 2019)</w:t>
      </w:r>
      <w:r w:rsidR="00FA40A6" w:rsidRPr="0035062B">
        <w:rPr>
          <w:rFonts w:ascii="Times New Roman" w:eastAsia="SimSun" w:hAnsi="Times New Roman" w:cs="Times New Roman"/>
          <w:color w:val="000000" w:themeColor="text1"/>
          <w:sz w:val="24"/>
          <w:szCs w:val="24"/>
        </w:rPr>
        <w:t xml:space="preserve">.  </w:t>
      </w:r>
      <w:r w:rsidR="00403CAF" w:rsidRPr="0035062B">
        <w:rPr>
          <w:rFonts w:ascii="Times New Roman" w:eastAsia="SimSun" w:hAnsi="Times New Roman" w:cs="Times New Roman"/>
          <w:color w:val="000000" w:themeColor="text1"/>
          <w:sz w:val="24"/>
          <w:szCs w:val="24"/>
        </w:rPr>
        <w:t xml:space="preserve">The </w:t>
      </w:r>
      <w:proofErr w:type="spellStart"/>
      <w:r w:rsidR="00403CAF" w:rsidRPr="0035062B">
        <w:rPr>
          <w:rFonts w:ascii="Times New Roman" w:eastAsia="SimSun" w:hAnsi="Times New Roman" w:cs="Times New Roman"/>
          <w:color w:val="000000" w:themeColor="text1"/>
          <w:sz w:val="24"/>
          <w:szCs w:val="24"/>
        </w:rPr>
        <w:t>Efron</w:t>
      </w:r>
      <w:proofErr w:type="spellEnd"/>
      <w:r w:rsidR="00403CAF" w:rsidRPr="0035062B">
        <w:rPr>
          <w:rFonts w:ascii="Times New Roman" w:eastAsia="SimSun" w:hAnsi="Times New Roman" w:cs="Times New Roman"/>
          <w:color w:val="000000" w:themeColor="text1"/>
          <w:sz w:val="24"/>
          <w:szCs w:val="24"/>
        </w:rPr>
        <w:t xml:space="preserve"> method is generally seen as more accurate than the Breslow method but more difficult to use (</w:t>
      </w:r>
      <w:proofErr w:type="spellStart"/>
      <w:r w:rsidR="00403CAF" w:rsidRPr="0035062B">
        <w:rPr>
          <w:rFonts w:ascii="Times New Roman" w:eastAsia="SimSun" w:hAnsi="Times New Roman" w:cs="Times New Roman"/>
          <w:color w:val="000000" w:themeColor="text1"/>
          <w:sz w:val="24"/>
          <w:szCs w:val="24"/>
        </w:rPr>
        <w:t>Breheny</w:t>
      </w:r>
      <w:proofErr w:type="spellEnd"/>
      <w:r w:rsidR="00403CAF" w:rsidRPr="0035062B">
        <w:rPr>
          <w:rFonts w:ascii="Times New Roman" w:eastAsia="SimSun" w:hAnsi="Times New Roman" w:cs="Times New Roman"/>
          <w:color w:val="000000" w:themeColor="text1"/>
          <w:sz w:val="24"/>
          <w:szCs w:val="24"/>
        </w:rPr>
        <w:t>, 2019</w:t>
      </w:r>
      <w:r>
        <w:rPr>
          <w:rFonts w:ascii="Times New Roman" w:eastAsia="SimSun" w:hAnsi="Times New Roman" w:cs="Times New Roman"/>
          <w:color w:val="000000" w:themeColor="text1"/>
          <w:sz w:val="24"/>
          <w:szCs w:val="24"/>
        </w:rPr>
        <w:t>; Li, 2019)</w:t>
      </w:r>
      <w:r w:rsidR="00403CAF" w:rsidRPr="0035062B">
        <w:rPr>
          <w:rFonts w:ascii="Times New Roman" w:eastAsia="SimSun" w:hAnsi="Times New Roman" w:cs="Times New Roman"/>
          <w:color w:val="000000" w:themeColor="text1"/>
          <w:sz w:val="24"/>
          <w:szCs w:val="24"/>
        </w:rPr>
        <w:t xml:space="preserve">.  </w:t>
      </w:r>
      <w:r w:rsidR="003E6D97" w:rsidRPr="0035062B">
        <w:rPr>
          <w:rFonts w:ascii="Times New Roman" w:eastAsia="SimSun" w:hAnsi="Times New Roman" w:cs="Times New Roman"/>
          <w:color w:val="000000" w:themeColor="text1"/>
          <w:sz w:val="24"/>
          <w:szCs w:val="24"/>
        </w:rPr>
        <w:t xml:space="preserve">This issue is generally brought up when two groups have a tie in events </w:t>
      </w:r>
      <w:r w:rsidR="00F2053F" w:rsidRPr="0035062B">
        <w:rPr>
          <w:rFonts w:ascii="Times New Roman" w:eastAsia="SimSun" w:hAnsi="Times New Roman" w:cs="Times New Roman"/>
          <w:color w:val="000000" w:themeColor="text1"/>
          <w:sz w:val="24"/>
          <w:szCs w:val="24"/>
        </w:rPr>
        <w:t>(Breslow, 1972)</w:t>
      </w:r>
      <w:r w:rsidR="003E6D97" w:rsidRPr="0035062B">
        <w:rPr>
          <w:rFonts w:ascii="Times New Roman" w:eastAsia="SimSun" w:hAnsi="Times New Roman" w:cs="Times New Roman"/>
          <w:color w:val="000000" w:themeColor="text1"/>
          <w:sz w:val="24"/>
          <w:szCs w:val="24"/>
        </w:rPr>
        <w:t>.</w:t>
      </w:r>
      <w:r w:rsidR="00F2053F" w:rsidRPr="0035062B">
        <w:rPr>
          <w:rFonts w:ascii="Times New Roman" w:eastAsia="SimSun" w:hAnsi="Times New Roman" w:cs="Times New Roman"/>
          <w:color w:val="000000" w:themeColor="text1"/>
          <w:sz w:val="24"/>
          <w:szCs w:val="24"/>
        </w:rPr>
        <w:t xml:space="preserve">  The </w:t>
      </w:r>
      <w:r>
        <w:rPr>
          <w:rFonts w:ascii="Times New Roman" w:eastAsia="SimSun" w:hAnsi="Times New Roman" w:cs="Times New Roman"/>
          <w:color w:val="000000" w:themeColor="text1"/>
          <w:sz w:val="24"/>
          <w:szCs w:val="24"/>
        </w:rPr>
        <w:t>Breslow</w:t>
      </w:r>
      <w:r w:rsidR="00F2053F" w:rsidRPr="0035062B">
        <w:rPr>
          <w:rFonts w:ascii="Times New Roman" w:eastAsia="SimSun" w:hAnsi="Times New Roman" w:cs="Times New Roman"/>
          <w:color w:val="000000" w:themeColor="text1"/>
          <w:sz w:val="24"/>
          <w:szCs w:val="24"/>
        </w:rPr>
        <w:t xml:space="preserve"> method is used in this study within the Cox-proportional hazards model as it </w:t>
      </w:r>
      <w:r>
        <w:rPr>
          <w:rFonts w:ascii="Times New Roman" w:eastAsia="SimSun" w:hAnsi="Times New Roman" w:cs="Times New Roman"/>
          <w:color w:val="000000" w:themeColor="text1"/>
          <w:sz w:val="24"/>
          <w:szCs w:val="24"/>
        </w:rPr>
        <w:t xml:space="preserve">is the baseline </w:t>
      </w:r>
      <w:r w:rsidR="00762BEC">
        <w:rPr>
          <w:rFonts w:ascii="Times New Roman" w:eastAsia="SimSun" w:hAnsi="Times New Roman" w:cs="Times New Roman"/>
          <w:color w:val="000000" w:themeColor="text1"/>
          <w:sz w:val="24"/>
          <w:szCs w:val="24"/>
        </w:rPr>
        <w:t>estimation method</w:t>
      </w:r>
      <w:r>
        <w:rPr>
          <w:rFonts w:ascii="Times New Roman" w:eastAsia="SimSun" w:hAnsi="Times New Roman" w:cs="Times New Roman"/>
          <w:color w:val="000000" w:themeColor="text1"/>
          <w:sz w:val="24"/>
          <w:szCs w:val="24"/>
        </w:rPr>
        <w:t xml:space="preserve"> used in SPSS software</w:t>
      </w:r>
      <w:r w:rsidR="00B6311E">
        <w:rPr>
          <w:rFonts w:ascii="Times New Roman" w:eastAsia="SimSun" w:hAnsi="Times New Roman" w:cs="Times New Roman"/>
          <w:color w:val="000000" w:themeColor="text1"/>
          <w:sz w:val="24"/>
          <w:szCs w:val="24"/>
        </w:rPr>
        <w:t xml:space="preserve"> </w:t>
      </w:r>
      <w:proofErr w:type="gramStart"/>
      <w:r w:rsidR="00B6311E">
        <w:rPr>
          <w:rFonts w:ascii="Times New Roman" w:eastAsia="SimSun" w:hAnsi="Times New Roman" w:cs="Times New Roman"/>
          <w:color w:val="000000" w:themeColor="text1"/>
          <w:sz w:val="24"/>
          <w:szCs w:val="24"/>
        </w:rPr>
        <w:t>and also</w:t>
      </w:r>
      <w:proofErr w:type="gramEnd"/>
      <w:r w:rsidR="00B6311E">
        <w:rPr>
          <w:rFonts w:ascii="Times New Roman" w:eastAsia="SimSun" w:hAnsi="Times New Roman" w:cs="Times New Roman"/>
          <w:color w:val="000000" w:themeColor="text1"/>
          <w:sz w:val="24"/>
          <w:szCs w:val="24"/>
        </w:rPr>
        <w:t xml:space="preserve"> controls for </w:t>
      </w:r>
      <w:r w:rsidR="0041077E">
        <w:rPr>
          <w:rFonts w:ascii="Times New Roman" w:eastAsia="SimSun" w:hAnsi="Times New Roman" w:cs="Times New Roman"/>
          <w:color w:val="000000" w:themeColor="text1"/>
          <w:sz w:val="24"/>
          <w:szCs w:val="24"/>
        </w:rPr>
        <w:t>type-I</w:t>
      </w:r>
      <w:r w:rsidR="00B6311E">
        <w:rPr>
          <w:rFonts w:ascii="Times New Roman" w:eastAsia="SimSun" w:hAnsi="Times New Roman" w:cs="Times New Roman"/>
          <w:color w:val="000000" w:themeColor="text1"/>
          <w:sz w:val="24"/>
          <w:szCs w:val="24"/>
        </w:rPr>
        <w:t xml:space="preserve"> error bias </w:t>
      </w:r>
      <w:r w:rsidR="00F549E8">
        <w:rPr>
          <w:rFonts w:ascii="Times New Roman" w:eastAsia="SimSun" w:hAnsi="Times New Roman" w:cs="Times New Roman"/>
          <w:color w:val="000000" w:themeColor="text1"/>
          <w:sz w:val="24"/>
          <w:szCs w:val="24"/>
        </w:rPr>
        <w:t>(Singer &amp; Willett, 2003, p. 525)</w:t>
      </w:r>
      <w:r>
        <w:rPr>
          <w:rFonts w:ascii="Times New Roman" w:eastAsia="SimSun" w:hAnsi="Times New Roman" w:cs="Times New Roman"/>
          <w:color w:val="000000" w:themeColor="text1"/>
          <w:sz w:val="24"/>
          <w:szCs w:val="24"/>
        </w:rPr>
        <w:t>.</w:t>
      </w:r>
      <w:r w:rsidR="009D6812">
        <w:rPr>
          <w:rFonts w:ascii="Times New Roman" w:eastAsia="SimSun" w:hAnsi="Times New Roman" w:cs="Times New Roman"/>
          <w:color w:val="000000" w:themeColor="text1"/>
          <w:sz w:val="24"/>
          <w:szCs w:val="24"/>
        </w:rPr>
        <w:t xml:space="preserve">  The use of this </w:t>
      </w:r>
      <w:r w:rsidR="002D5A96">
        <w:rPr>
          <w:rFonts w:ascii="Times New Roman" w:eastAsia="SimSun" w:hAnsi="Times New Roman" w:cs="Times New Roman"/>
          <w:color w:val="000000" w:themeColor="text1"/>
          <w:sz w:val="24"/>
          <w:szCs w:val="24"/>
        </w:rPr>
        <w:t>estimation method</w:t>
      </w:r>
      <w:r w:rsidR="009D6812">
        <w:rPr>
          <w:rFonts w:ascii="Times New Roman" w:eastAsia="SimSun" w:hAnsi="Times New Roman" w:cs="Times New Roman"/>
          <w:color w:val="000000" w:themeColor="text1"/>
          <w:sz w:val="24"/>
          <w:szCs w:val="24"/>
        </w:rPr>
        <w:t xml:space="preserve"> may </w:t>
      </w:r>
      <w:r w:rsidR="00E60871">
        <w:rPr>
          <w:rFonts w:ascii="Times New Roman" w:eastAsia="SimSun" w:hAnsi="Times New Roman" w:cs="Times New Roman"/>
          <w:color w:val="000000" w:themeColor="text1"/>
          <w:sz w:val="24"/>
          <w:szCs w:val="24"/>
        </w:rPr>
        <w:t xml:space="preserve">potentially </w:t>
      </w:r>
      <w:r w:rsidR="009D6812">
        <w:rPr>
          <w:rFonts w:ascii="Times New Roman" w:eastAsia="SimSun" w:hAnsi="Times New Roman" w:cs="Times New Roman"/>
          <w:color w:val="000000" w:themeColor="text1"/>
          <w:sz w:val="24"/>
          <w:szCs w:val="24"/>
        </w:rPr>
        <w:t xml:space="preserve">control for </w:t>
      </w:r>
      <w:r w:rsidR="0041077E">
        <w:rPr>
          <w:rFonts w:ascii="Times New Roman" w:eastAsia="SimSun" w:hAnsi="Times New Roman" w:cs="Times New Roman"/>
          <w:color w:val="000000" w:themeColor="text1"/>
          <w:sz w:val="24"/>
          <w:szCs w:val="24"/>
        </w:rPr>
        <w:t>type-I</w:t>
      </w:r>
      <w:r w:rsidR="009D6812">
        <w:rPr>
          <w:rFonts w:ascii="Times New Roman" w:eastAsia="SimSun" w:hAnsi="Times New Roman" w:cs="Times New Roman"/>
          <w:color w:val="000000" w:themeColor="text1"/>
          <w:sz w:val="24"/>
          <w:szCs w:val="24"/>
        </w:rPr>
        <w:t xml:space="preserve"> error bias</w:t>
      </w:r>
      <w:r w:rsidR="00EF497A">
        <w:rPr>
          <w:rFonts w:ascii="Times New Roman" w:eastAsia="SimSun" w:hAnsi="Times New Roman" w:cs="Times New Roman"/>
          <w:color w:val="000000" w:themeColor="text1"/>
          <w:sz w:val="24"/>
          <w:szCs w:val="24"/>
        </w:rPr>
        <w:t>,</w:t>
      </w:r>
      <w:r w:rsidR="009D6812">
        <w:rPr>
          <w:rFonts w:ascii="Times New Roman" w:eastAsia="SimSun" w:hAnsi="Times New Roman" w:cs="Times New Roman"/>
          <w:color w:val="000000" w:themeColor="text1"/>
          <w:sz w:val="24"/>
          <w:szCs w:val="24"/>
        </w:rPr>
        <w:t xml:space="preserve"> </w:t>
      </w:r>
      <w:r w:rsidR="00E60871">
        <w:rPr>
          <w:rFonts w:ascii="Times New Roman" w:eastAsia="SimSun" w:hAnsi="Times New Roman" w:cs="Times New Roman"/>
          <w:color w:val="000000" w:themeColor="text1"/>
          <w:sz w:val="24"/>
          <w:szCs w:val="24"/>
        </w:rPr>
        <w:t xml:space="preserve">although </w:t>
      </w:r>
      <w:r w:rsidR="009D6812">
        <w:rPr>
          <w:rFonts w:ascii="Times New Roman" w:eastAsia="SimSun" w:hAnsi="Times New Roman" w:cs="Times New Roman"/>
          <w:color w:val="000000" w:themeColor="text1"/>
          <w:sz w:val="24"/>
          <w:szCs w:val="24"/>
        </w:rPr>
        <w:t>may decrease accuracy when there are ties in events</w:t>
      </w:r>
      <w:r w:rsidR="002009F2">
        <w:rPr>
          <w:rFonts w:ascii="Times New Roman" w:eastAsia="SimSun" w:hAnsi="Times New Roman" w:cs="Times New Roman"/>
          <w:color w:val="000000" w:themeColor="text1"/>
          <w:sz w:val="24"/>
          <w:szCs w:val="24"/>
        </w:rPr>
        <w:t xml:space="preserve">, to which this data has a </w:t>
      </w:r>
      <w:r w:rsidR="000A2CAE">
        <w:rPr>
          <w:rFonts w:ascii="Times New Roman" w:eastAsia="SimSun" w:hAnsi="Times New Roman" w:cs="Times New Roman"/>
          <w:color w:val="000000" w:themeColor="text1"/>
          <w:sz w:val="24"/>
          <w:szCs w:val="24"/>
        </w:rPr>
        <w:t>relatively</w:t>
      </w:r>
      <w:r w:rsidR="004A53E0">
        <w:rPr>
          <w:rFonts w:ascii="Times New Roman" w:eastAsia="SimSun" w:hAnsi="Times New Roman" w:cs="Times New Roman"/>
          <w:color w:val="000000" w:themeColor="text1"/>
          <w:sz w:val="24"/>
          <w:szCs w:val="24"/>
        </w:rPr>
        <w:t xml:space="preserve"> </w:t>
      </w:r>
      <w:r w:rsidR="002009F2">
        <w:rPr>
          <w:rFonts w:ascii="Times New Roman" w:eastAsia="SimSun" w:hAnsi="Times New Roman" w:cs="Times New Roman"/>
          <w:color w:val="000000" w:themeColor="text1"/>
          <w:sz w:val="24"/>
          <w:szCs w:val="24"/>
        </w:rPr>
        <w:t>small amount of cases</w:t>
      </w:r>
      <w:r w:rsidR="004A53E0">
        <w:rPr>
          <w:rFonts w:ascii="Times New Roman" w:eastAsia="SimSun" w:hAnsi="Times New Roman" w:cs="Times New Roman"/>
          <w:color w:val="000000" w:themeColor="text1"/>
          <w:sz w:val="24"/>
          <w:szCs w:val="24"/>
        </w:rPr>
        <w:t xml:space="preserve"> as time is measured in days in this study.</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0F79DDD1" w14:textId="49E1C603" w:rsidR="005764D7" w:rsidRDefault="00FF5C23" w:rsidP="0025013A">
      <w:pPr>
        <w:spacing w:line="480" w:lineRule="auto"/>
        <w:ind w:firstLine="720"/>
        <w:contextualSpacing/>
        <w:rPr>
          <w:rFonts w:ascii="Times New Roman" w:hAnsi="Times New Roman" w:cs="Times New Roman"/>
          <w:b/>
          <w:bCs/>
          <w:sz w:val="24"/>
          <w:szCs w:val="24"/>
        </w:rPr>
      </w:pPr>
      <w:r>
        <w:rPr>
          <w:rFonts w:ascii="Times New Roman" w:eastAsia="SimSun" w:hAnsi="Times New Roman" w:cs="Times New Roman"/>
          <w:sz w:val="24"/>
          <w:szCs w:val="24"/>
        </w:rPr>
        <w:t>Log-rank tests and Cox-proportional hazard model p</w:t>
      </w:r>
      <w:r w:rsidR="00D6461F">
        <w:rPr>
          <w:rFonts w:ascii="Times New Roman" w:hAnsi="Times New Roman" w:cs="Times New Roman"/>
          <w:sz w:val="24"/>
          <w:szCs w:val="24"/>
        </w:rPr>
        <w:t xml:space="preserve">rimary results are displayed in Table </w:t>
      </w:r>
      <w:r w:rsidR="00910611">
        <w:rPr>
          <w:rFonts w:ascii="Times New Roman" w:hAnsi="Times New Roman" w:cs="Times New Roman"/>
          <w:sz w:val="24"/>
          <w:szCs w:val="24"/>
        </w:rPr>
        <w:t>3.</w:t>
      </w:r>
    </w:p>
    <w:p w14:paraId="38EDE426" w14:textId="77777777" w:rsidR="0025013A" w:rsidRDefault="0025013A">
      <w:pPr>
        <w:rPr>
          <w:rFonts w:ascii="Times New Roman" w:hAnsi="Times New Roman" w:cs="Times New Roman"/>
          <w:b/>
          <w:bCs/>
          <w:sz w:val="24"/>
          <w:szCs w:val="24"/>
        </w:rPr>
      </w:pPr>
      <w:r>
        <w:rPr>
          <w:rFonts w:ascii="Times New Roman" w:hAnsi="Times New Roman" w:cs="Times New Roman"/>
          <w:b/>
          <w:bCs/>
          <w:sz w:val="24"/>
          <w:szCs w:val="24"/>
        </w:rPr>
        <w:br w:type="page"/>
      </w:r>
    </w:p>
    <w:p w14:paraId="575EC5F7" w14:textId="621E213C" w:rsidR="007842A0" w:rsidRPr="00785C63" w:rsidRDefault="007842A0" w:rsidP="00785C63">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lastRenderedPageBreak/>
        <w:t xml:space="preserve">Table </w:t>
      </w:r>
      <w:r w:rsidR="00910611">
        <w:rPr>
          <w:rFonts w:ascii="Times New Roman" w:hAnsi="Times New Roman" w:cs="Times New Roman"/>
          <w:b/>
          <w:bCs/>
          <w:sz w:val="24"/>
          <w:szCs w:val="24"/>
        </w:rPr>
        <w:t>3</w:t>
      </w:r>
      <w:r w:rsidRPr="006568FF">
        <w:rPr>
          <w:rFonts w:ascii="Times New Roman" w:hAnsi="Times New Roman" w:cs="Times New Roman"/>
          <w:b/>
          <w:bCs/>
          <w:sz w:val="24"/>
          <w:szCs w:val="24"/>
        </w:rPr>
        <w:t xml:space="preserve">. </w:t>
      </w:r>
      <w:r>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Pr>
          <w:rFonts w:ascii="Times New Roman" w:hAnsi="Times New Roman" w:cs="Times New Roman"/>
          <w:b/>
          <w:bCs/>
          <w:sz w:val="24"/>
          <w:szCs w:val="24"/>
        </w:rPr>
        <w:t xml:space="preserve"> and Hazard Ratios</w:t>
      </w:r>
    </w:p>
    <w:tbl>
      <w:tblPr>
        <w:tblW w:w="9946" w:type="dxa"/>
        <w:tblLook w:val="04A0" w:firstRow="1" w:lastRow="0" w:firstColumn="1" w:lastColumn="0" w:noHBand="0" w:noVBand="1"/>
      </w:tblPr>
      <w:tblGrid>
        <w:gridCol w:w="2107"/>
        <w:gridCol w:w="1548"/>
        <w:gridCol w:w="1008"/>
        <w:gridCol w:w="1125"/>
        <w:gridCol w:w="1125"/>
        <w:gridCol w:w="1600"/>
        <w:gridCol w:w="1433"/>
      </w:tblGrid>
      <w:tr w:rsidR="00085CF7" w:rsidRPr="007842A0" w14:paraId="0D3FAD4B"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45D40292" w14:textId="77777777"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Gene</w:t>
            </w:r>
          </w:p>
        </w:tc>
        <w:tc>
          <w:tcPr>
            <w:tcW w:w="1548"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1738762" w14:textId="77777777"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Coefficient</w:t>
            </w:r>
          </w:p>
        </w:tc>
        <w:tc>
          <w:tcPr>
            <w:tcW w:w="1008"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81DAD77" w14:textId="77777777"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P-value</w:t>
            </w:r>
          </w:p>
        </w:tc>
        <w:tc>
          <w:tcPr>
            <w:tcW w:w="1125" w:type="dxa"/>
            <w:tcBorders>
              <w:top w:val="single" w:sz="4" w:space="0" w:color="auto"/>
              <w:left w:val="single" w:sz="4" w:space="0" w:color="auto"/>
              <w:bottom w:val="single" w:sz="4" w:space="0" w:color="auto"/>
              <w:right w:val="single" w:sz="4" w:space="0" w:color="auto"/>
            </w:tcBorders>
            <w:shd w:val="clear" w:color="000000" w:fill="7B7B7B"/>
            <w:vAlign w:val="center"/>
          </w:tcPr>
          <w:p w14:paraId="3DA36D4B" w14:textId="64130208" w:rsidR="00085CF7" w:rsidRPr="007842A0" w:rsidRDefault="00085CF7" w:rsidP="00085CF7">
            <w:pPr>
              <w:spacing w:after="0" w:line="240" w:lineRule="auto"/>
              <w:jc w:val="center"/>
              <w:rPr>
                <w:rFonts w:ascii="Arial" w:eastAsia="Times New Roman" w:hAnsi="Arial" w:cs="Arial"/>
                <w:b/>
                <w:bCs/>
                <w:color w:val="333399"/>
                <w:sz w:val="24"/>
                <w:szCs w:val="24"/>
              </w:rPr>
            </w:pPr>
            <w:r>
              <w:rPr>
                <w:rFonts w:ascii="Arial" w:eastAsia="Times New Roman" w:hAnsi="Arial" w:cs="Arial"/>
                <w:b/>
                <w:bCs/>
                <w:color w:val="333399"/>
                <w:sz w:val="24"/>
                <w:szCs w:val="24"/>
              </w:rPr>
              <w:t>Chi-Square</w:t>
            </w:r>
          </w:p>
        </w:tc>
        <w:tc>
          <w:tcPr>
            <w:tcW w:w="1125"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594999B" w14:textId="7EE1F5E6"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Hazard Ratio</w:t>
            </w:r>
          </w:p>
        </w:tc>
        <w:tc>
          <w:tcPr>
            <w:tcW w:w="1600"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50D58E06" w14:textId="77777777"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Lower 95% CI</w:t>
            </w:r>
          </w:p>
        </w:tc>
        <w:tc>
          <w:tcPr>
            <w:tcW w:w="1433"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BB6574B" w14:textId="77777777" w:rsidR="00085CF7" w:rsidRPr="007842A0" w:rsidRDefault="00085CF7"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Upper 95% CI</w:t>
            </w:r>
          </w:p>
        </w:tc>
      </w:tr>
      <w:tr w:rsidR="00085CF7" w:rsidRPr="007842A0" w14:paraId="65335834"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EE7CFF0"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Normal</w:t>
            </w:r>
          </w:p>
        </w:tc>
        <w:tc>
          <w:tcPr>
            <w:tcW w:w="154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E212524"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9AD90D" w14:textId="57A67C8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0.015*</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66040DA9" w14:textId="11F26675" w:rsidR="00085CF7" w:rsidRPr="00950FB1" w:rsidRDefault="00085CF7" w:rsidP="00085CF7">
            <w:pPr>
              <w:spacing w:after="0" w:line="240" w:lineRule="auto"/>
              <w:jc w:val="center"/>
              <w:rPr>
                <w:rFonts w:ascii="Arial" w:eastAsia="Times New Roman" w:hAnsi="Arial" w:cs="Arial"/>
                <w:color w:val="993300"/>
                <w:sz w:val="20"/>
                <w:szCs w:val="20"/>
              </w:rPr>
            </w:pPr>
            <w:r>
              <w:rPr>
                <w:rFonts w:ascii="Arial" w:eastAsia="Times New Roman" w:hAnsi="Arial" w:cs="Arial"/>
                <w:color w:val="993300"/>
                <w:sz w:val="20"/>
                <w:szCs w:val="20"/>
              </w:rPr>
              <w:t>8.56</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785B50B" w14:textId="41A4B016"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60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F7F415B"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433"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FB4281"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085CF7" w:rsidRPr="007842A0" w14:paraId="7E991192"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DCBC124"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Deletion</w:t>
            </w:r>
          </w:p>
        </w:tc>
        <w:tc>
          <w:tcPr>
            <w:tcW w:w="154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CBD84C2"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0.299</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9AB18F" w14:textId="29041CEA"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0.045*</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7217DC07"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29AA5CD" w14:textId="448D0C26"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1.349</w:t>
            </w:r>
          </w:p>
        </w:tc>
        <w:tc>
          <w:tcPr>
            <w:tcW w:w="160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1D75DB2"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1.006</w:t>
            </w:r>
          </w:p>
        </w:tc>
        <w:tc>
          <w:tcPr>
            <w:tcW w:w="1433"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3266A8"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1.808</w:t>
            </w:r>
          </w:p>
        </w:tc>
      </w:tr>
      <w:tr w:rsidR="00085CF7" w:rsidRPr="007842A0" w14:paraId="38D0EBC9"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1440660"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Duplication</w:t>
            </w:r>
          </w:p>
        </w:tc>
        <w:tc>
          <w:tcPr>
            <w:tcW w:w="154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9B55FED"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-0.083</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2DD2C6"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59172172"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EFBE14D" w14:textId="1860EAA9"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0.921</w:t>
            </w:r>
          </w:p>
        </w:tc>
        <w:tc>
          <w:tcPr>
            <w:tcW w:w="160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FFF2C0D"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0.684</w:t>
            </w:r>
          </w:p>
        </w:tc>
        <w:tc>
          <w:tcPr>
            <w:tcW w:w="1433"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B49C9D6"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1.240</w:t>
            </w:r>
          </w:p>
        </w:tc>
      </w:tr>
      <w:tr w:rsidR="00085CF7" w:rsidRPr="007842A0" w14:paraId="60E6A98C"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1F25E14"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Normal</w:t>
            </w:r>
          </w:p>
        </w:tc>
        <w:tc>
          <w:tcPr>
            <w:tcW w:w="1548"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A0FF9DD"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0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1F14989" w14:textId="1DD5F6A1"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0.026*</w:t>
            </w:r>
          </w:p>
        </w:tc>
        <w:tc>
          <w:tcPr>
            <w:tcW w:w="1125" w:type="dxa"/>
            <w:tcBorders>
              <w:top w:val="single" w:sz="4" w:space="0" w:color="auto"/>
              <w:left w:val="single" w:sz="4" w:space="0" w:color="auto"/>
              <w:bottom w:val="single" w:sz="4" w:space="0" w:color="auto"/>
              <w:right w:val="single" w:sz="4" w:space="0" w:color="auto"/>
            </w:tcBorders>
            <w:shd w:val="clear" w:color="000000" w:fill="DBDBDB"/>
            <w:vAlign w:val="center"/>
          </w:tcPr>
          <w:p w14:paraId="0E0FD31B" w14:textId="2E8696BF" w:rsidR="00085CF7" w:rsidRPr="00950FB1" w:rsidRDefault="00085CF7" w:rsidP="00085CF7">
            <w:pPr>
              <w:spacing w:after="0" w:line="240" w:lineRule="auto"/>
              <w:jc w:val="center"/>
              <w:rPr>
                <w:rFonts w:ascii="Arial" w:eastAsia="Times New Roman" w:hAnsi="Arial" w:cs="Arial"/>
                <w:color w:val="993300"/>
                <w:sz w:val="20"/>
                <w:szCs w:val="20"/>
              </w:rPr>
            </w:pPr>
            <w:r>
              <w:rPr>
                <w:rFonts w:ascii="Arial" w:eastAsia="Times New Roman" w:hAnsi="Arial" w:cs="Arial"/>
                <w:color w:val="993300"/>
                <w:sz w:val="20"/>
                <w:szCs w:val="20"/>
              </w:rPr>
              <w:t>7.698</w:t>
            </w:r>
          </w:p>
        </w:tc>
        <w:tc>
          <w:tcPr>
            <w:tcW w:w="112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09ED3BA" w14:textId="676AFA43"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600"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282D60F0"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433"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6FEC8CE9"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085CF7" w:rsidRPr="007842A0" w14:paraId="1016A77B"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C035713"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Deletion</w:t>
            </w:r>
          </w:p>
        </w:tc>
        <w:tc>
          <w:tcPr>
            <w:tcW w:w="154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7302700"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-0.075</w:t>
            </w:r>
          </w:p>
        </w:tc>
        <w:tc>
          <w:tcPr>
            <w:tcW w:w="100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D55268F"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125" w:type="dxa"/>
            <w:tcBorders>
              <w:top w:val="single" w:sz="4" w:space="0" w:color="auto"/>
              <w:left w:val="single" w:sz="4" w:space="0" w:color="auto"/>
              <w:bottom w:val="single" w:sz="4" w:space="0" w:color="auto"/>
              <w:right w:val="single" w:sz="4" w:space="0" w:color="auto"/>
            </w:tcBorders>
            <w:shd w:val="clear" w:color="000000" w:fill="DBDBDB"/>
            <w:vAlign w:val="center"/>
          </w:tcPr>
          <w:p w14:paraId="122836CA"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6B503A9" w14:textId="102262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0.928</w:t>
            </w:r>
          </w:p>
        </w:tc>
        <w:tc>
          <w:tcPr>
            <w:tcW w:w="160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95A175A"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0.709</w:t>
            </w:r>
          </w:p>
        </w:tc>
        <w:tc>
          <w:tcPr>
            <w:tcW w:w="1433"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03EB0EF"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1.214</w:t>
            </w:r>
          </w:p>
        </w:tc>
      </w:tr>
      <w:tr w:rsidR="00085CF7" w:rsidRPr="007842A0" w14:paraId="348AA8FD"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5023C750"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Duplication</w:t>
            </w:r>
          </w:p>
        </w:tc>
        <w:tc>
          <w:tcPr>
            <w:tcW w:w="154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7A239A8"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0.731</w:t>
            </w:r>
          </w:p>
        </w:tc>
        <w:tc>
          <w:tcPr>
            <w:tcW w:w="100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58AA397" w14:textId="34634C1D"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0.019*</w:t>
            </w:r>
          </w:p>
        </w:tc>
        <w:tc>
          <w:tcPr>
            <w:tcW w:w="1125" w:type="dxa"/>
            <w:tcBorders>
              <w:top w:val="single" w:sz="4" w:space="0" w:color="auto"/>
              <w:left w:val="single" w:sz="4" w:space="0" w:color="auto"/>
              <w:bottom w:val="single" w:sz="4" w:space="0" w:color="auto"/>
              <w:right w:val="single" w:sz="4" w:space="0" w:color="auto"/>
            </w:tcBorders>
            <w:shd w:val="clear" w:color="000000" w:fill="DBDBDB"/>
            <w:vAlign w:val="center"/>
          </w:tcPr>
          <w:p w14:paraId="18B948B0"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2B2D595" w14:textId="2BCAA8C5"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2.077</w:t>
            </w:r>
          </w:p>
        </w:tc>
        <w:tc>
          <w:tcPr>
            <w:tcW w:w="160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1B8AD8B"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1.125</w:t>
            </w:r>
          </w:p>
        </w:tc>
        <w:tc>
          <w:tcPr>
            <w:tcW w:w="1433"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4E65D01"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3.835</w:t>
            </w:r>
          </w:p>
        </w:tc>
      </w:tr>
      <w:tr w:rsidR="00085CF7" w:rsidRPr="007842A0" w14:paraId="7444055B"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681B02D"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Normal</w:t>
            </w:r>
          </w:p>
        </w:tc>
        <w:tc>
          <w:tcPr>
            <w:tcW w:w="1548"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8508603"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4320EDC" w14:textId="606BD544"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0.047*</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3290EE5C" w14:textId="33BD4625" w:rsidR="00085CF7" w:rsidRPr="00950FB1" w:rsidRDefault="00085CF7" w:rsidP="00085CF7">
            <w:pPr>
              <w:spacing w:after="0" w:line="240" w:lineRule="auto"/>
              <w:jc w:val="center"/>
              <w:rPr>
                <w:rFonts w:ascii="Arial" w:eastAsia="Times New Roman" w:hAnsi="Arial" w:cs="Arial"/>
                <w:color w:val="993300"/>
                <w:sz w:val="20"/>
                <w:szCs w:val="20"/>
              </w:rPr>
            </w:pPr>
            <w:r>
              <w:rPr>
                <w:rFonts w:ascii="Arial" w:eastAsia="Times New Roman" w:hAnsi="Arial" w:cs="Arial"/>
                <w:color w:val="993300"/>
                <w:sz w:val="20"/>
                <w:szCs w:val="20"/>
              </w:rPr>
              <w:t>6.179</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F70EBCE" w14:textId="1726477B"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60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A132E87"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433"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CECD214"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085CF7" w:rsidRPr="007842A0" w14:paraId="32945393"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08E67D2"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Deletion</w:t>
            </w:r>
          </w:p>
        </w:tc>
        <w:tc>
          <w:tcPr>
            <w:tcW w:w="154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231D58F"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0.245</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DA8293"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0.063</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2BB3A551"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5D02104" w14:textId="7D150D7E"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1.277</w:t>
            </w:r>
          </w:p>
        </w:tc>
        <w:tc>
          <w:tcPr>
            <w:tcW w:w="160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8F413C"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0.987</w:t>
            </w:r>
          </w:p>
        </w:tc>
        <w:tc>
          <w:tcPr>
            <w:tcW w:w="1433"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C69022"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1.654</w:t>
            </w:r>
          </w:p>
        </w:tc>
      </w:tr>
      <w:tr w:rsidR="00085CF7" w:rsidRPr="007842A0" w14:paraId="3EDC47F4" w14:textId="77777777" w:rsidTr="00085CF7">
        <w:trPr>
          <w:trHeight w:val="645"/>
        </w:trPr>
        <w:tc>
          <w:tcPr>
            <w:tcW w:w="2107"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570577" w14:textId="77777777" w:rsidR="00085CF7" w:rsidRPr="007842A0" w:rsidRDefault="00085CF7"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Duplication</w:t>
            </w:r>
          </w:p>
        </w:tc>
        <w:tc>
          <w:tcPr>
            <w:tcW w:w="154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879A8FB"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-0.115</w:t>
            </w:r>
          </w:p>
        </w:tc>
        <w:tc>
          <w:tcPr>
            <w:tcW w:w="100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547DAC"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0.474</w:t>
            </w:r>
          </w:p>
        </w:tc>
        <w:tc>
          <w:tcPr>
            <w:tcW w:w="1125" w:type="dxa"/>
            <w:tcBorders>
              <w:top w:val="single" w:sz="4" w:space="0" w:color="auto"/>
              <w:left w:val="single" w:sz="4" w:space="0" w:color="auto"/>
              <w:bottom w:val="single" w:sz="4" w:space="0" w:color="auto"/>
              <w:right w:val="single" w:sz="4" w:space="0" w:color="auto"/>
            </w:tcBorders>
            <w:shd w:val="clear" w:color="000000" w:fill="EDEDED"/>
            <w:vAlign w:val="center"/>
          </w:tcPr>
          <w:p w14:paraId="33C1C1F2" w14:textId="77777777" w:rsidR="00085CF7" w:rsidRPr="00950FB1" w:rsidRDefault="00085CF7" w:rsidP="00085CF7">
            <w:pPr>
              <w:spacing w:after="0" w:line="240" w:lineRule="auto"/>
              <w:jc w:val="center"/>
              <w:rPr>
                <w:rFonts w:ascii="Arial" w:eastAsia="Times New Roman" w:hAnsi="Arial" w:cs="Arial"/>
                <w:color w:val="993300"/>
                <w:sz w:val="20"/>
                <w:szCs w:val="20"/>
              </w:rPr>
            </w:pPr>
          </w:p>
        </w:tc>
        <w:tc>
          <w:tcPr>
            <w:tcW w:w="1125"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661D2F" w14:textId="25D9E8B9"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0.891</w:t>
            </w:r>
          </w:p>
        </w:tc>
        <w:tc>
          <w:tcPr>
            <w:tcW w:w="160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7A448E"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0.650</w:t>
            </w:r>
          </w:p>
        </w:tc>
        <w:tc>
          <w:tcPr>
            <w:tcW w:w="1433"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FA4C312" w14:textId="77777777" w:rsidR="00085CF7" w:rsidRPr="00950FB1" w:rsidRDefault="00085CF7"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1.221</w:t>
            </w:r>
          </w:p>
        </w:tc>
      </w:tr>
    </w:tbl>
    <w:p w14:paraId="0D2D207F" w14:textId="52EFAEC3"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w:t>
      </w:r>
      <w:r w:rsidR="00E03CDB">
        <w:rPr>
          <w:rFonts w:ascii="Times New Roman" w:hAnsi="Times New Roman" w:cs="Times New Roman"/>
          <w:b/>
          <w:bCs/>
          <w:sz w:val="24"/>
          <w:szCs w:val="24"/>
        </w:rPr>
        <w:t>S</w:t>
      </w:r>
      <w:r w:rsidRPr="00EF6C7E">
        <w:rPr>
          <w:rFonts w:ascii="Times New Roman" w:hAnsi="Times New Roman" w:cs="Times New Roman"/>
          <w:b/>
          <w:bCs/>
          <w:sz w:val="24"/>
          <w:szCs w:val="24"/>
        </w:rPr>
        <w:t>tatistical significance with p-value &lt; 0.05.</w:t>
      </w:r>
    </w:p>
    <w:p w14:paraId="485AD521" w14:textId="04D8E7B0"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w:t>
      </w:r>
      <w:r w:rsidR="00F85954">
        <w:rPr>
          <w:rFonts w:ascii="Times New Roman" w:hAnsi="Times New Roman" w:cs="Times New Roman"/>
          <w:sz w:val="24"/>
          <w:szCs w:val="24"/>
        </w:rPr>
        <w:t xml:space="preserve"> overall as defined by the p-value in Table </w:t>
      </w:r>
      <w:r w:rsidR="00910611">
        <w:rPr>
          <w:rFonts w:ascii="Times New Roman" w:hAnsi="Times New Roman" w:cs="Times New Roman"/>
          <w:sz w:val="24"/>
          <w:szCs w:val="24"/>
        </w:rPr>
        <w:t>3</w:t>
      </w:r>
      <w:r w:rsidR="00F85954">
        <w:rPr>
          <w:rFonts w:ascii="Times New Roman" w:hAnsi="Times New Roman" w:cs="Times New Roman"/>
          <w:sz w:val="24"/>
          <w:szCs w:val="24"/>
        </w:rPr>
        <w:t xml:space="preserve"> under the normal stratification</w:t>
      </w:r>
      <w:r>
        <w:rPr>
          <w:rFonts w:ascii="Times New Roman" w:hAnsi="Times New Roman" w:cs="Times New Roman"/>
          <w:sz w:val="24"/>
          <w:szCs w:val="24"/>
        </w:rPr>
        <w:t xml:space="preserve">,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w:t>
      </w:r>
    </w:p>
    <w:p w14:paraId="070C55F9" w14:textId="36AD60F7" w:rsidR="00091474"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 xml:space="preserve">In </w:t>
      </w:r>
      <w:r w:rsidR="00FF5C23">
        <w:rPr>
          <w:rFonts w:ascii="Times New Roman" w:hAnsi="Times New Roman" w:cs="Times New Roman"/>
          <w:sz w:val="24"/>
          <w:szCs w:val="24"/>
        </w:rPr>
        <w:t xml:space="preserve">Table </w:t>
      </w:r>
      <w:r w:rsidR="00910611">
        <w:rPr>
          <w:rFonts w:ascii="Times New Roman" w:hAnsi="Times New Roman" w:cs="Times New Roman"/>
          <w:sz w:val="24"/>
          <w:szCs w:val="24"/>
        </w:rPr>
        <w:t>3</w:t>
      </w:r>
      <w:r w:rsidRPr="004E6E7C">
        <w:rPr>
          <w:rFonts w:ascii="Times New Roman" w:hAnsi="Times New Roman" w:cs="Times New Roman"/>
          <w:sz w:val="24"/>
          <w:szCs w:val="24"/>
        </w:rPr>
        <w:t>,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duplication CNV</w:t>
      </w:r>
      <w:r w:rsidR="000F2A1C">
        <w:rPr>
          <w:rFonts w:ascii="Times New Roman" w:eastAsia="Times New Roman" w:hAnsi="Times New Roman" w:cs="Times New Roman"/>
          <w:color w:val="000000"/>
          <w:sz w:val="24"/>
          <w:szCs w:val="24"/>
        </w:rPr>
        <w:t xml:space="preserve"> and positive for deletion CNV</w:t>
      </w:r>
      <w:r w:rsidR="00866F3C" w:rsidRPr="004E6E7C">
        <w:rPr>
          <w:rFonts w:ascii="Times New Roman" w:eastAsia="Times New Roman" w:hAnsi="Times New Roman" w:cs="Times New Roman"/>
          <w:color w:val="000000"/>
          <w:sz w:val="24"/>
          <w:szCs w:val="24"/>
        </w:rPr>
        <w:t xml:space="preserve"> when compared to </w:t>
      </w:r>
      <w:r w:rsidR="000F2A1C">
        <w:rPr>
          <w:rFonts w:ascii="Times New Roman" w:eastAsia="Times New Roman" w:hAnsi="Times New Roman" w:cs="Times New Roman"/>
          <w:color w:val="000000"/>
          <w:sz w:val="24"/>
          <w:szCs w:val="24"/>
        </w:rPr>
        <w:t>normal</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This translates to an increased survival for duplication and a significant decrease in survival for deletion mutations.</w:t>
      </w:r>
      <w:r w:rsidR="00D66AD5">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However, the duplication stratification was not statistically significant.</w:t>
      </w:r>
    </w:p>
    <w:p w14:paraId="23C8197F" w14:textId="4E86E5DB" w:rsidR="00D62F45" w:rsidRDefault="00D62F45"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coefficients can be translated as percentages of the event per unit time.  For example, COL4A3BP duplication translate to roughly a 73% increase in probability of event per unit time </w:t>
      </w:r>
      <w:r>
        <w:rPr>
          <w:rFonts w:ascii="Times New Roman" w:eastAsia="Times New Roman" w:hAnsi="Times New Roman" w:cs="Times New Roman"/>
          <w:color w:val="000000"/>
          <w:sz w:val="24"/>
          <w:szCs w:val="24"/>
        </w:rPr>
        <w:lastRenderedPageBreak/>
        <w:t>while the COL4A3BP deletion would translate to a 7.5% decrease in probability of event per unit time.</w:t>
      </w:r>
    </w:p>
    <w:p w14:paraId="0A4608FE" w14:textId="1D56BE1D" w:rsidR="00091474"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ratios for COL4A3BP were only significant between the normal CNV and duplication mutations, showing that the duplication mutation has significant decreased survival.  The large coefficient value of 0.731 corroborates the decrease in survival for duplication mutations.</w:t>
      </w:r>
    </w:p>
    <w:p w14:paraId="1DC6ADE7" w14:textId="7ACB5187" w:rsidR="00866F3C"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w:t>
      </w:r>
      <w:r w:rsidR="00A71B3C">
        <w:rPr>
          <w:rFonts w:ascii="Times New Roman" w:eastAsia="Times New Roman" w:hAnsi="Times New Roman" w:cs="Times New Roman"/>
          <w:color w:val="000000"/>
          <w:sz w:val="24"/>
          <w:szCs w:val="24"/>
        </w:rPr>
        <w:t>oefficient</w:t>
      </w:r>
      <w:r>
        <w:rPr>
          <w:rFonts w:ascii="Times New Roman" w:eastAsia="Times New Roman" w:hAnsi="Times New Roman" w:cs="Times New Roman"/>
          <w:color w:val="000000"/>
          <w:sz w:val="24"/>
          <w:szCs w:val="24"/>
        </w:rPr>
        <w:t>s</w:t>
      </w:r>
      <w:r w:rsidR="00A71B3C">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rPr>
        <w:t xml:space="preserve">the </w:t>
      </w:r>
      <w:r w:rsidR="00A71B3C">
        <w:rPr>
          <w:rFonts w:ascii="Times New Roman" w:eastAsia="Times New Roman" w:hAnsi="Times New Roman" w:cs="Times New Roman"/>
          <w:color w:val="000000"/>
          <w:sz w:val="24"/>
          <w:szCs w:val="24"/>
        </w:rPr>
        <w:t xml:space="preserve">COL12A1 </w:t>
      </w:r>
      <w:r>
        <w:rPr>
          <w:rFonts w:ascii="Times New Roman" w:eastAsia="Times New Roman" w:hAnsi="Times New Roman" w:cs="Times New Roman"/>
          <w:color w:val="000000"/>
          <w:sz w:val="24"/>
          <w:szCs w:val="24"/>
        </w:rPr>
        <w:t>gene with deletion and duplication mutations were not statistically significant while the overall model was statistically significant.</w:t>
      </w:r>
      <w:r w:rsidR="00A71B3C">
        <w:rPr>
          <w:rFonts w:ascii="Times New Roman" w:eastAsia="Times New Roman" w:hAnsi="Times New Roman" w:cs="Times New Roman"/>
          <w:color w:val="000000"/>
          <w:sz w:val="24"/>
          <w:szCs w:val="24"/>
        </w:rPr>
        <w:t xml:space="preserv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11B1617C" w14:textId="77777777" w:rsidR="00D47215" w:rsidRDefault="001302D8" w:rsidP="00866F3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Hazard ratios for statistically significant findings include </w:t>
      </w:r>
      <w:r w:rsidR="004E6CF0">
        <w:rPr>
          <w:rFonts w:ascii="Times New Roman" w:eastAsia="Times New Roman" w:hAnsi="Times New Roman" w:cs="Times New Roman"/>
          <w:color w:val="000000"/>
          <w:sz w:val="24"/>
          <w:szCs w:val="24"/>
        </w:rPr>
        <w:t>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w:t>
      </w:r>
      <w:r w:rsidR="0029442B">
        <w:rPr>
          <w:rFonts w:ascii="Times New Roman" w:eastAsia="Times New Roman" w:hAnsi="Times New Roman" w:cs="Times New Roman"/>
          <w:color w:val="000000"/>
          <w:sz w:val="24"/>
          <w:szCs w:val="24"/>
        </w:rPr>
        <w:t>with</w:t>
      </w:r>
      <w:r w:rsidR="00C02FF1">
        <w:rPr>
          <w:rFonts w:ascii="Times New Roman" w:eastAsia="Times New Roman" w:hAnsi="Times New Roman" w:cs="Times New Roman"/>
          <w:color w:val="000000"/>
          <w:sz w:val="24"/>
          <w:szCs w:val="24"/>
        </w:rPr>
        <w:t xml:space="preserve">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w:t>
      </w:r>
      <w:r w:rsidR="005506A8">
        <w:rPr>
          <w:rFonts w:ascii="Times New Roman" w:eastAsia="Times New Roman" w:hAnsi="Times New Roman" w:cs="Times New Roman"/>
          <w:color w:val="000000"/>
          <w:sz w:val="24"/>
          <w:szCs w:val="24"/>
        </w:rPr>
        <w:t>077</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w:t>
      </w:r>
      <w:r w:rsidR="005506A8">
        <w:rPr>
          <w:rFonts w:ascii="Times New Roman" w:eastAsia="Times New Roman" w:hAnsi="Times New Roman" w:cs="Times New Roman"/>
          <w:color w:val="000000"/>
          <w:sz w:val="24"/>
          <w:szCs w:val="24"/>
        </w:rPr>
        <w:t xml:space="preserve">just over </w:t>
      </w:r>
      <w:r w:rsidR="004E6CF0">
        <w:rPr>
          <w:rFonts w:ascii="Times New Roman" w:eastAsia="Times New Roman" w:hAnsi="Times New Roman" w:cs="Times New Roman"/>
          <w:color w:val="000000"/>
          <w:sz w:val="24"/>
          <w:szCs w:val="24"/>
        </w:rPr>
        <w:t>a 2:1 ratio for increased chance of death</w:t>
      </w:r>
      <w:r w:rsidR="00A36DDA">
        <w:rPr>
          <w:rFonts w:ascii="Times New Roman" w:eastAsia="Times New Roman" w:hAnsi="Times New Roman" w:cs="Times New Roman"/>
          <w:color w:val="000000"/>
          <w:sz w:val="24"/>
          <w:szCs w:val="24"/>
        </w:rPr>
        <w:t xml:space="preserve"> which</w:t>
      </w:r>
      <w:r w:rsidR="00A06E71">
        <w:rPr>
          <w:rFonts w:ascii="Times New Roman" w:eastAsia="Times New Roman" w:hAnsi="Times New Roman" w:cs="Times New Roman"/>
          <w:color w:val="000000"/>
          <w:sz w:val="24"/>
          <w:szCs w:val="24"/>
        </w:rPr>
        <w:t xml:space="preserve"> </w:t>
      </w:r>
      <w:r w:rsidR="00D47215">
        <w:rPr>
          <w:rFonts w:ascii="Times New Roman" w:eastAsia="Times New Roman" w:hAnsi="Times New Roman" w:cs="Times New Roman"/>
          <w:color w:val="000000"/>
          <w:sz w:val="24"/>
          <w:szCs w:val="24"/>
        </w:rPr>
        <w:t>indicates</w:t>
      </w:r>
      <w:r w:rsidR="00A06E71">
        <w:rPr>
          <w:rFonts w:ascii="Times New Roman" w:eastAsia="Times New Roman" w:hAnsi="Times New Roman" w:cs="Times New Roman"/>
          <w:color w:val="000000"/>
          <w:sz w:val="24"/>
          <w:szCs w:val="24"/>
        </w:rPr>
        <w:t xml:space="preserve"> that there is a</w:t>
      </w:r>
      <w:r w:rsidR="004E6CF0">
        <w:rPr>
          <w:rFonts w:ascii="Times New Roman" w:eastAsia="Times New Roman" w:hAnsi="Times New Roman" w:cs="Times New Roman"/>
          <w:color w:val="000000"/>
          <w:sz w:val="24"/>
          <w:szCs w:val="24"/>
        </w:rPr>
        <w:t xml:space="preserve"> </w:t>
      </w:r>
      <w:r w:rsidR="00FA3415">
        <w:rPr>
          <w:rFonts w:ascii="Times New Roman" w:eastAsia="Times New Roman" w:hAnsi="Times New Roman" w:cs="Times New Roman"/>
          <w:color w:val="000000"/>
          <w:sz w:val="24"/>
          <w:szCs w:val="24"/>
        </w:rPr>
        <w:t>67.5</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probability</w:t>
      </w:r>
      <w:r w:rsidR="00CA4787">
        <w:rPr>
          <w:rFonts w:ascii="Times New Roman" w:eastAsia="Times New Roman" w:hAnsi="Times New Roman" w:cs="Times New Roman"/>
          <w:color w:val="000000"/>
          <w:sz w:val="24"/>
          <w:szCs w:val="24"/>
        </w:rPr>
        <w:t xml:space="preserve"> or odds</w:t>
      </w:r>
      <w:r w:rsidR="00A36DDA">
        <w:rPr>
          <w:rFonts w:ascii="Times New Roman" w:eastAsia="Times New Roman" w:hAnsi="Times New Roman" w:cs="Times New Roman"/>
          <w:color w:val="000000"/>
          <w:sz w:val="24"/>
          <w:szCs w:val="24"/>
        </w:rPr>
        <w:t xml:space="preserve"> </w:t>
      </w:r>
      <w:r w:rsidR="00A06E71">
        <w:rPr>
          <w:rFonts w:ascii="Times New Roman" w:eastAsia="Times New Roman" w:hAnsi="Times New Roman" w:cs="Times New Roman"/>
          <w:color w:val="000000"/>
          <w:sz w:val="24"/>
          <w:szCs w:val="24"/>
        </w:rPr>
        <w:t>that a patient</w:t>
      </w:r>
      <w:r w:rsidR="00FA3415">
        <w:rPr>
          <w:rFonts w:ascii="Times New Roman" w:eastAsia="Times New Roman" w:hAnsi="Times New Roman" w:cs="Times New Roman"/>
          <w:color w:val="000000"/>
          <w:sz w:val="24"/>
          <w:szCs w:val="24"/>
        </w:rPr>
        <w:t xml:space="preserve"> </w:t>
      </w:r>
      <w:r w:rsidR="00940D00">
        <w:rPr>
          <w:rFonts w:ascii="Times New Roman" w:eastAsia="Times New Roman" w:hAnsi="Times New Roman" w:cs="Times New Roman"/>
          <w:color w:val="000000"/>
          <w:sz w:val="24"/>
          <w:szCs w:val="24"/>
        </w:rPr>
        <w:t>with this gene duplication</w:t>
      </w:r>
      <w:r w:rsidR="00FA3415">
        <w:rPr>
          <w:rFonts w:ascii="Times New Roman" w:eastAsia="Times New Roman" w:hAnsi="Times New Roman" w:cs="Times New Roman"/>
          <w:color w:val="000000"/>
          <w:sz w:val="24"/>
          <w:szCs w:val="24"/>
        </w:rPr>
        <w:t xml:space="preserve"> </w:t>
      </w:r>
      <w:r w:rsidR="00A06E71">
        <w:rPr>
          <w:rFonts w:ascii="Times New Roman" w:eastAsia="Times New Roman" w:hAnsi="Times New Roman" w:cs="Times New Roman"/>
          <w:color w:val="000000"/>
          <w:sz w:val="24"/>
          <w:szCs w:val="24"/>
        </w:rPr>
        <w:t>will have an event before a patient with</w:t>
      </w:r>
      <w:r w:rsidR="00FA3415">
        <w:rPr>
          <w:rFonts w:ascii="Times New Roman" w:eastAsia="Times New Roman" w:hAnsi="Times New Roman" w:cs="Times New Roman"/>
          <w:color w:val="000000"/>
          <w:sz w:val="24"/>
          <w:szCs w:val="24"/>
        </w:rPr>
        <w:t xml:space="preserve"> the normal stratification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statistically significant for </w:t>
      </w:r>
      <w:r w:rsidR="00933A0C">
        <w:rPr>
          <w:rFonts w:ascii="Times New Roman" w:eastAsia="Times New Roman" w:hAnsi="Times New Roman" w:cs="Times New Roman"/>
          <w:color w:val="000000"/>
          <w:sz w:val="24"/>
          <w:szCs w:val="24"/>
        </w:rPr>
        <w:t>deletion mutations</w:t>
      </w:r>
      <w:r w:rsidR="004E6CF0">
        <w:rPr>
          <w:rFonts w:ascii="Times New Roman" w:eastAsia="Times New Roman" w:hAnsi="Times New Roman" w:cs="Times New Roman"/>
          <w:color w:val="000000"/>
          <w:sz w:val="24"/>
          <w:szCs w:val="24"/>
        </w:rPr>
        <w:t xml:space="preserve"> at </w:t>
      </w:r>
      <w:r w:rsidR="00933A0C">
        <w:rPr>
          <w:rFonts w:ascii="Times New Roman" w:eastAsia="Times New Roman" w:hAnsi="Times New Roman" w:cs="Times New Roman"/>
          <w:color w:val="000000"/>
          <w:sz w:val="24"/>
          <w:szCs w:val="24"/>
        </w:rPr>
        <w:t>1.349</w:t>
      </w:r>
      <w:r w:rsidR="004E6CF0">
        <w:rPr>
          <w:rFonts w:ascii="Times New Roman" w:eastAsia="Times New Roman" w:hAnsi="Times New Roman" w:cs="Times New Roman"/>
          <w:color w:val="000000"/>
          <w:sz w:val="24"/>
          <w:szCs w:val="24"/>
        </w:rPr>
        <w:t>.  Th</w:t>
      </w:r>
      <w:r w:rsidR="00D47215">
        <w:rPr>
          <w:rFonts w:ascii="Times New Roman" w:eastAsia="Times New Roman" w:hAnsi="Times New Roman" w:cs="Times New Roman"/>
          <w:color w:val="000000"/>
          <w:sz w:val="24"/>
          <w:szCs w:val="24"/>
        </w:rPr>
        <w:t>is</w:t>
      </w:r>
      <w:r w:rsidR="004E6CF0">
        <w:rPr>
          <w:rFonts w:ascii="Times New Roman" w:eastAsia="Times New Roman" w:hAnsi="Times New Roman" w:cs="Times New Roman"/>
          <w:color w:val="000000"/>
          <w:sz w:val="24"/>
          <w:szCs w:val="24"/>
        </w:rPr>
        <w:t xml:space="preserve"> translate</w:t>
      </w:r>
      <w:r w:rsidR="00D47215">
        <w:rPr>
          <w:rFonts w:ascii="Times New Roman" w:eastAsia="Times New Roman" w:hAnsi="Times New Roman" w:cs="Times New Roman"/>
          <w:color w:val="000000"/>
          <w:sz w:val="24"/>
          <w:szCs w:val="24"/>
        </w:rPr>
        <w:t>s</w:t>
      </w:r>
      <w:r w:rsidR="00A06E71">
        <w:rPr>
          <w:rFonts w:ascii="Times New Roman" w:eastAsia="Times New Roman" w:hAnsi="Times New Roman" w:cs="Times New Roman"/>
          <w:color w:val="000000"/>
          <w:sz w:val="24"/>
          <w:szCs w:val="24"/>
        </w:rPr>
        <w:t xml:space="preserve"> roughly</w:t>
      </w:r>
      <w:r w:rsidR="004E6CF0">
        <w:rPr>
          <w:rFonts w:ascii="Times New Roman" w:eastAsia="Times New Roman" w:hAnsi="Times New Roman" w:cs="Times New Roman"/>
          <w:color w:val="000000"/>
          <w:sz w:val="24"/>
          <w:szCs w:val="24"/>
        </w:rPr>
        <w:t xml:space="preserve"> to a ratio of </w:t>
      </w:r>
      <w:r w:rsidR="00933A0C">
        <w:rPr>
          <w:rFonts w:ascii="Times New Roman" w:eastAsia="Times New Roman" w:hAnsi="Times New Roman" w:cs="Times New Roman"/>
          <w:color w:val="000000"/>
          <w:sz w:val="24"/>
          <w:szCs w:val="24"/>
        </w:rPr>
        <w:t>1.35</w:t>
      </w:r>
      <w:r w:rsidR="004E6CF0">
        <w:rPr>
          <w:rFonts w:ascii="Times New Roman" w:eastAsia="Times New Roman" w:hAnsi="Times New Roman" w:cs="Times New Roman"/>
          <w:color w:val="000000"/>
          <w:sz w:val="24"/>
          <w:szCs w:val="24"/>
        </w:rPr>
        <w:t xml:space="preserve">:1 ratio for chances of death; or a </w:t>
      </w:r>
      <w:r w:rsidR="00CA4787">
        <w:rPr>
          <w:rFonts w:ascii="Times New Roman" w:eastAsia="Times New Roman" w:hAnsi="Times New Roman" w:cs="Times New Roman"/>
          <w:color w:val="000000"/>
          <w:sz w:val="24"/>
          <w:szCs w:val="24"/>
        </w:rPr>
        <w:t>57.4</w:t>
      </w:r>
      <w:r w:rsidR="004E6CF0">
        <w:rPr>
          <w:rFonts w:ascii="Times New Roman" w:eastAsia="Times New Roman" w:hAnsi="Times New Roman" w:cs="Times New Roman"/>
          <w:color w:val="000000"/>
          <w:sz w:val="24"/>
          <w:szCs w:val="24"/>
        </w:rPr>
        <w:t xml:space="preserve">% </w:t>
      </w:r>
      <w:r w:rsidR="00CA4787">
        <w:rPr>
          <w:rFonts w:ascii="Times New Roman" w:eastAsia="Times New Roman" w:hAnsi="Times New Roman" w:cs="Times New Roman"/>
          <w:color w:val="000000"/>
          <w:sz w:val="24"/>
          <w:szCs w:val="24"/>
        </w:rPr>
        <w:t xml:space="preserve">probability or odds </w:t>
      </w:r>
      <w:r w:rsidR="004E6CF0">
        <w:rPr>
          <w:rFonts w:ascii="Times New Roman" w:eastAsia="Times New Roman" w:hAnsi="Times New Roman" w:cs="Times New Roman"/>
          <w:color w:val="000000"/>
          <w:sz w:val="24"/>
          <w:szCs w:val="24"/>
        </w:rPr>
        <w:t>of death</w:t>
      </w:r>
      <w:r w:rsidR="00CA4787">
        <w:rPr>
          <w:rFonts w:ascii="Times New Roman" w:eastAsia="Times New Roman" w:hAnsi="Times New Roman" w:cs="Times New Roman"/>
          <w:color w:val="000000"/>
          <w:sz w:val="24"/>
          <w:szCs w:val="24"/>
        </w:rPr>
        <w:t xml:space="preserve"> for a patient with the</w:t>
      </w:r>
      <w:r w:rsidR="00933A0C">
        <w:rPr>
          <w:rFonts w:ascii="Times New Roman" w:eastAsia="Times New Roman" w:hAnsi="Times New Roman" w:cs="Times New Roman"/>
          <w:color w:val="000000"/>
          <w:sz w:val="24"/>
          <w:szCs w:val="24"/>
        </w:rPr>
        <w:t xml:space="preserve"> COL5A3 deletion mutation</w:t>
      </w:r>
      <w:r w:rsidR="00CA4787">
        <w:rPr>
          <w:rFonts w:ascii="Times New Roman" w:eastAsia="Times New Roman" w:hAnsi="Times New Roman" w:cs="Times New Roman"/>
          <w:color w:val="000000"/>
          <w:sz w:val="24"/>
          <w:szCs w:val="24"/>
        </w:rPr>
        <w:t xml:space="preserve"> before a patient with the normal stratification</w:t>
      </w:r>
      <w:r w:rsidR="004E6CF0">
        <w:rPr>
          <w:rFonts w:ascii="Times New Roman" w:eastAsia="Times New Roman" w:hAnsi="Times New Roman" w:cs="Times New Roman"/>
          <w:color w:val="000000"/>
          <w:sz w:val="24"/>
          <w:szCs w:val="24"/>
        </w:rPr>
        <w:t>.</w:t>
      </w:r>
      <w:r w:rsidR="00506B0A">
        <w:rPr>
          <w:rFonts w:ascii="Times New Roman" w:eastAsia="Times New Roman" w:hAnsi="Times New Roman" w:cs="Times New Roman"/>
          <w:color w:val="000000"/>
          <w:sz w:val="24"/>
          <w:szCs w:val="24"/>
        </w:rPr>
        <w:t xml:space="preserve">  </w:t>
      </w:r>
      <w:r w:rsidR="002D4A28">
        <w:rPr>
          <w:rFonts w:ascii="Times New Roman" w:eastAsia="Times New Roman" w:hAnsi="Times New Roman" w:cs="Times New Roman"/>
          <w:color w:val="000000"/>
          <w:sz w:val="24"/>
          <w:szCs w:val="24"/>
        </w:rPr>
        <w:t>A</w:t>
      </w:r>
      <w:r w:rsidR="002D4A28" w:rsidRPr="002D4A28">
        <w:rPr>
          <w:rFonts w:ascii="Times New Roman" w:eastAsia="Times New Roman" w:hAnsi="Times New Roman" w:cs="Times New Roman"/>
          <w:color w:val="000000"/>
          <w:sz w:val="24"/>
          <w:szCs w:val="24"/>
        </w:rPr>
        <w:t xml:space="preserve"> hazard ratio of </w:t>
      </w:r>
      <w:r w:rsidR="002D4A28">
        <w:rPr>
          <w:rFonts w:ascii="Times New Roman" w:eastAsia="Times New Roman" w:hAnsi="Times New Roman" w:cs="Times New Roman"/>
          <w:color w:val="000000"/>
          <w:sz w:val="24"/>
          <w:szCs w:val="24"/>
        </w:rPr>
        <w:t>one</w:t>
      </w:r>
      <w:r w:rsidR="002D4A28" w:rsidRPr="002D4A28">
        <w:rPr>
          <w:rFonts w:ascii="Times New Roman" w:eastAsia="Times New Roman" w:hAnsi="Times New Roman" w:cs="Times New Roman"/>
          <w:color w:val="000000"/>
          <w:sz w:val="24"/>
          <w:szCs w:val="24"/>
        </w:rPr>
        <w:t xml:space="preserve"> for each stratification would be equivalent to each stratification having a 50% probability that a patient with this mutation will have an event before someone who doesn't have a mutation.</w:t>
      </w:r>
      <w:r w:rsidR="002D4A28">
        <w:rPr>
          <w:rFonts w:ascii="Times New Roman" w:eastAsia="Times New Roman" w:hAnsi="Times New Roman" w:cs="Times New Roman"/>
          <w:color w:val="000000"/>
          <w:sz w:val="24"/>
          <w:szCs w:val="24"/>
        </w:rPr>
        <w:t xml:space="preserve">  </w:t>
      </w:r>
      <w:r w:rsidR="00A860ED">
        <w:rPr>
          <w:rFonts w:ascii="Times New Roman" w:eastAsia="Times New Roman" w:hAnsi="Times New Roman" w:cs="Times New Roman"/>
          <w:color w:val="000000"/>
          <w:sz w:val="24"/>
          <w:szCs w:val="24"/>
        </w:rPr>
        <w:t xml:space="preserve">These odds are calculated from the equation Probability = Hazard Ratio / (1 + Hazard Ratio).  </w:t>
      </w:r>
    </w:p>
    <w:p w14:paraId="5C9C7B64" w14:textId="4CFBB28F" w:rsidR="001302D8" w:rsidRDefault="00506B0A" w:rsidP="00866F3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forest plot</w:t>
      </w:r>
      <w:r w:rsidR="002E45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shown in Figure </w:t>
      </w:r>
      <w:r w:rsidR="00004E37">
        <w:rPr>
          <w:rFonts w:ascii="Times New Roman" w:eastAsia="Times New Roman" w:hAnsi="Times New Roman" w:cs="Times New Roman"/>
          <w:color w:val="000000"/>
          <w:sz w:val="24"/>
          <w:szCs w:val="24"/>
        </w:rPr>
        <w:t>8</w:t>
      </w:r>
      <w:r w:rsidR="002E45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displays a graphical representation of the hazard ratios.  Note that the </w:t>
      </w:r>
      <w:r w:rsidR="00187183">
        <w:rPr>
          <w:rFonts w:ascii="Times New Roman" w:eastAsia="Times New Roman" w:hAnsi="Times New Roman" w:cs="Times New Roman"/>
          <w:color w:val="000000"/>
          <w:sz w:val="24"/>
          <w:szCs w:val="24"/>
        </w:rPr>
        <w:t>normal</w:t>
      </w:r>
      <w:r>
        <w:rPr>
          <w:rFonts w:ascii="Times New Roman" w:eastAsia="Times New Roman" w:hAnsi="Times New Roman" w:cs="Times New Roman"/>
          <w:color w:val="000000"/>
          <w:sz w:val="24"/>
          <w:szCs w:val="24"/>
        </w:rPr>
        <w:t xml:space="preserve"> stratification is not displayed as it is located at the vertical line on the x-axis at the </w:t>
      </w:r>
      <w:r w:rsidR="002E45C7">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z w:val="24"/>
          <w:szCs w:val="24"/>
        </w:rPr>
        <w:t xml:space="preserve"> marker for </w:t>
      </w:r>
      <w:r w:rsidR="00187183">
        <w:rPr>
          <w:rFonts w:ascii="Times New Roman" w:eastAsia="Times New Roman" w:hAnsi="Times New Roman" w:cs="Times New Roman"/>
          <w:color w:val="000000"/>
          <w:sz w:val="24"/>
          <w:szCs w:val="24"/>
        </w:rPr>
        <w:t xml:space="preserve">baseline </w:t>
      </w:r>
      <w:r>
        <w:rPr>
          <w:rFonts w:ascii="Times New Roman" w:eastAsia="Times New Roman" w:hAnsi="Times New Roman" w:cs="Times New Roman"/>
          <w:color w:val="000000"/>
          <w:sz w:val="24"/>
          <w:szCs w:val="24"/>
        </w:rPr>
        <w:t>comparison to the other stratified CNV mutations.</w:t>
      </w:r>
    </w:p>
    <w:p w14:paraId="7A2BEBAA" w14:textId="4A05AEB7" w:rsidR="00506B0A" w:rsidRPr="004E6E7C" w:rsidRDefault="003154ED" w:rsidP="00FF5BF6">
      <w:pPr>
        <w:spacing w:line="240" w:lineRule="auto"/>
        <w:ind w:firstLine="720"/>
        <w:contextualSpacing/>
        <w:rPr>
          <w:rFonts w:ascii="Times New Roman" w:hAnsi="Times New Roman" w:cs="Times New Roman"/>
          <w:sz w:val="24"/>
          <w:szCs w:val="24"/>
        </w:rPr>
      </w:pPr>
      <w:r>
        <w:rPr>
          <w:noProof/>
        </w:rPr>
        <w:drawing>
          <wp:inline distT="0" distB="0" distL="0" distR="0" wp14:anchorId="570C8589" wp14:editId="76FDA06E">
            <wp:extent cx="5057776" cy="2786062"/>
            <wp:effectExtent l="0" t="0" r="9525" b="14605"/>
            <wp:docPr id="24" name="Chart 24">
              <a:extLst xmlns:a="http://schemas.openxmlformats.org/drawingml/2006/main">
                <a:ext uri="{FF2B5EF4-FFF2-40B4-BE49-F238E27FC236}">
                  <a16:creationId xmlns:a16="http://schemas.microsoft.com/office/drawing/2014/main" id="{163B40C8-EA38-4BC1-AD59-8B10B3E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19E6B0" w14:textId="172CEAAC" w:rsidR="00506B0A" w:rsidRPr="00506B0A" w:rsidRDefault="00506B0A" w:rsidP="00506B0A">
      <w:pPr>
        <w:spacing w:line="240" w:lineRule="auto"/>
        <w:ind w:firstLine="720"/>
        <w:contextualSpacing/>
        <w:rPr>
          <w:rFonts w:ascii="Times New Roman" w:hAnsi="Times New Roman" w:cs="Times New Roman"/>
          <w:b/>
          <w:bCs/>
          <w:sz w:val="24"/>
          <w:szCs w:val="24"/>
        </w:rPr>
      </w:pPr>
      <w:r w:rsidRPr="00506B0A">
        <w:rPr>
          <w:rFonts w:ascii="Times New Roman" w:hAnsi="Times New Roman" w:cs="Times New Roman"/>
          <w:b/>
          <w:bCs/>
          <w:sz w:val="24"/>
          <w:szCs w:val="24"/>
        </w:rPr>
        <w:t xml:space="preserve">Figure </w:t>
      </w:r>
      <w:r w:rsidR="00004E37">
        <w:rPr>
          <w:rFonts w:ascii="Times New Roman" w:hAnsi="Times New Roman" w:cs="Times New Roman"/>
          <w:b/>
          <w:bCs/>
          <w:sz w:val="24"/>
          <w:szCs w:val="24"/>
        </w:rPr>
        <w:t>8</w:t>
      </w:r>
      <w:r w:rsidRPr="00506B0A">
        <w:rPr>
          <w:rFonts w:ascii="Times New Roman" w:hAnsi="Times New Roman" w:cs="Times New Roman"/>
          <w:b/>
          <w:bCs/>
          <w:sz w:val="24"/>
          <w:szCs w:val="24"/>
        </w:rPr>
        <w:t>.  Forest Plot of Hazard Ratio.</w:t>
      </w:r>
      <w:r w:rsidR="00DC5A69">
        <w:rPr>
          <w:rFonts w:ascii="Times New Roman" w:hAnsi="Times New Roman" w:cs="Times New Roman"/>
          <w:b/>
          <w:bCs/>
          <w:sz w:val="24"/>
          <w:szCs w:val="24"/>
        </w:rPr>
        <w:br/>
      </w:r>
    </w:p>
    <w:p w14:paraId="3117C968" w14:textId="273A11FF" w:rsidR="00DC5A69" w:rsidRDefault="00DC5A69"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8 </w:t>
      </w:r>
      <w:r w:rsidR="00A9695A">
        <w:rPr>
          <w:rFonts w:ascii="Times New Roman" w:hAnsi="Times New Roman" w:cs="Times New Roman"/>
          <w:sz w:val="24"/>
          <w:szCs w:val="24"/>
        </w:rPr>
        <w:t xml:space="preserve">illustrates that </w:t>
      </w:r>
      <w:r>
        <w:rPr>
          <w:rFonts w:ascii="Times New Roman" w:hAnsi="Times New Roman" w:cs="Times New Roman"/>
          <w:sz w:val="24"/>
          <w:szCs w:val="24"/>
        </w:rPr>
        <w:t>th</w:t>
      </w:r>
      <w:r w:rsidR="00FF394A">
        <w:rPr>
          <w:rFonts w:ascii="Times New Roman" w:hAnsi="Times New Roman" w:cs="Times New Roman"/>
          <w:sz w:val="24"/>
          <w:szCs w:val="24"/>
        </w:rPr>
        <w:t>e hazard ratio for COL4A3BP duplication stratification confidence interval is quite wide.  This is due primarily to lack of data yet was statistically significant.  Statistically significant stratifications have markers highlighted in red.</w:t>
      </w:r>
      <w:r w:rsidR="003C2407">
        <w:rPr>
          <w:rFonts w:ascii="Times New Roman" w:hAnsi="Times New Roman" w:cs="Times New Roman"/>
          <w:sz w:val="24"/>
          <w:szCs w:val="24"/>
        </w:rPr>
        <w:t xml:space="preserve">  All markers right of the line marked at hazard ratio of </w:t>
      </w:r>
      <w:r w:rsidR="002E45C7">
        <w:rPr>
          <w:rFonts w:ascii="Times New Roman" w:hAnsi="Times New Roman" w:cs="Times New Roman"/>
          <w:sz w:val="24"/>
          <w:szCs w:val="24"/>
        </w:rPr>
        <w:t>one</w:t>
      </w:r>
      <w:r w:rsidR="003C2407">
        <w:rPr>
          <w:rFonts w:ascii="Times New Roman" w:hAnsi="Times New Roman" w:cs="Times New Roman"/>
          <w:sz w:val="24"/>
          <w:szCs w:val="24"/>
        </w:rPr>
        <w:t xml:space="preserve"> are considered to have an increased chance of death, and markers less than 1 are considered to have increased survival compared to the baseline of no mutations of respective collagen genes.</w:t>
      </w:r>
      <w:r w:rsidR="006B2AD1">
        <w:rPr>
          <w:rFonts w:ascii="Times New Roman" w:hAnsi="Times New Roman" w:cs="Times New Roman"/>
          <w:sz w:val="24"/>
          <w:szCs w:val="24"/>
        </w:rPr>
        <w:t xml:space="preserve">  The x-axis value of </w:t>
      </w:r>
      <w:r w:rsidR="002E45C7">
        <w:rPr>
          <w:rFonts w:ascii="Times New Roman" w:hAnsi="Times New Roman" w:cs="Times New Roman"/>
          <w:sz w:val="24"/>
          <w:szCs w:val="24"/>
        </w:rPr>
        <w:t>one</w:t>
      </w:r>
      <w:r w:rsidR="006B2AD1">
        <w:rPr>
          <w:rFonts w:ascii="Times New Roman" w:hAnsi="Times New Roman" w:cs="Times New Roman"/>
          <w:sz w:val="24"/>
          <w:szCs w:val="24"/>
        </w:rPr>
        <w:t xml:space="preserve"> is the baseline and is the normal stratification.</w:t>
      </w:r>
    </w:p>
    <w:p w14:paraId="7EBC625B" w14:textId="4D84D11A" w:rsidR="009E28B2" w:rsidRDefault="009E28B2"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9 displays a bar chart of coefficients which are correlated directly to the hazard ratios.  Highlighted in blue are the statistically significant findings for each stratified gene.  Values to the right of baseline, at value zero, translate to an increased chan</w:t>
      </w:r>
      <w:r w:rsidR="001853AF">
        <w:rPr>
          <w:rFonts w:ascii="Times New Roman" w:hAnsi="Times New Roman" w:cs="Times New Roman"/>
          <w:sz w:val="24"/>
          <w:szCs w:val="24"/>
        </w:rPr>
        <w:t>ce</w:t>
      </w:r>
      <w:r>
        <w:rPr>
          <w:rFonts w:ascii="Times New Roman" w:hAnsi="Times New Roman" w:cs="Times New Roman"/>
          <w:sz w:val="24"/>
          <w:szCs w:val="24"/>
        </w:rPr>
        <w:t xml:space="preserve"> of event, and negative values to the left of the baseline represent stratifications with a decreased chance of </w:t>
      </w:r>
      <w:r>
        <w:rPr>
          <w:rFonts w:ascii="Times New Roman" w:hAnsi="Times New Roman" w:cs="Times New Roman"/>
          <w:sz w:val="24"/>
          <w:szCs w:val="24"/>
        </w:rPr>
        <w:lastRenderedPageBreak/>
        <w:t>event.  The zero marker is baseline and is the normal stratification.</w:t>
      </w:r>
      <w:r w:rsidR="00110761">
        <w:rPr>
          <w:rFonts w:ascii="Times New Roman" w:hAnsi="Times New Roman" w:cs="Times New Roman"/>
          <w:sz w:val="24"/>
          <w:szCs w:val="24"/>
        </w:rPr>
        <w:t xml:space="preserve">  The coefficients can be translated to a percent chance of events per unit time.  For example, the COL4A3BP duplication can be translates as roughly a 70% increase in probability of an event per unit time.</w:t>
      </w:r>
    </w:p>
    <w:p w14:paraId="1C83EC16" w14:textId="03FC1CE3" w:rsidR="009E28B2" w:rsidRDefault="009E28B2" w:rsidP="00FF5BF6">
      <w:pPr>
        <w:spacing w:line="240" w:lineRule="auto"/>
        <w:contextualSpacing/>
        <w:jc w:val="center"/>
        <w:rPr>
          <w:rFonts w:ascii="Times New Roman" w:hAnsi="Times New Roman" w:cs="Times New Roman"/>
          <w:sz w:val="24"/>
          <w:szCs w:val="24"/>
        </w:rPr>
      </w:pPr>
      <w:r>
        <w:rPr>
          <w:noProof/>
        </w:rPr>
        <w:drawing>
          <wp:inline distT="0" distB="0" distL="0" distR="0" wp14:anchorId="1F58F1F3" wp14:editId="49F0D90E">
            <wp:extent cx="5812483" cy="3152775"/>
            <wp:effectExtent l="19050" t="19050" r="17145" b="952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2328" cy="3163539"/>
                    </a:xfrm>
                    <a:prstGeom prst="rect">
                      <a:avLst/>
                    </a:prstGeom>
                    <a:noFill/>
                    <a:ln>
                      <a:solidFill>
                        <a:schemeClr val="tx1"/>
                      </a:solidFill>
                    </a:ln>
                  </pic:spPr>
                </pic:pic>
              </a:graphicData>
            </a:graphic>
          </wp:inline>
        </w:drawing>
      </w:r>
    </w:p>
    <w:p w14:paraId="28E259F4" w14:textId="75505202" w:rsidR="001E01D6" w:rsidRPr="001E01D6" w:rsidRDefault="00FF5BF6" w:rsidP="001E01D6">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1E01D6" w:rsidRPr="001E01D6">
        <w:rPr>
          <w:rFonts w:ascii="Times New Roman" w:hAnsi="Times New Roman" w:cs="Times New Roman"/>
          <w:b/>
          <w:bCs/>
          <w:sz w:val="24"/>
          <w:szCs w:val="24"/>
        </w:rPr>
        <w:t>Figure 9.  Coefficient Bar Chart</w:t>
      </w:r>
      <w:r w:rsidR="00482B5B">
        <w:rPr>
          <w:rFonts w:ascii="Times New Roman" w:hAnsi="Times New Roman" w:cs="Times New Roman"/>
          <w:b/>
          <w:bCs/>
          <w:sz w:val="24"/>
          <w:szCs w:val="24"/>
        </w:rPr>
        <w:br/>
      </w:r>
    </w:p>
    <w:p w14:paraId="209856AD" w14:textId="391E0C95" w:rsidR="009A5D01" w:rsidRDefault="009A5D01"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1E01D6">
        <w:rPr>
          <w:rFonts w:ascii="Times New Roman" w:hAnsi="Times New Roman" w:cs="Times New Roman"/>
          <w:sz w:val="24"/>
          <w:szCs w:val="24"/>
        </w:rPr>
        <w:t>s</w:t>
      </w:r>
      <w:r>
        <w:rPr>
          <w:rFonts w:ascii="Times New Roman" w:hAnsi="Times New Roman" w:cs="Times New Roman"/>
          <w:sz w:val="24"/>
          <w:szCs w:val="24"/>
        </w:rPr>
        <w:t xml:space="preserve"> </w:t>
      </w:r>
      <w:r w:rsidR="001E01D6">
        <w:rPr>
          <w:rFonts w:ascii="Times New Roman" w:hAnsi="Times New Roman" w:cs="Times New Roman"/>
          <w:sz w:val="24"/>
          <w:szCs w:val="24"/>
        </w:rPr>
        <w:t>10</w:t>
      </w:r>
      <w:r>
        <w:rPr>
          <w:rFonts w:ascii="Times New Roman" w:hAnsi="Times New Roman" w:cs="Times New Roman"/>
          <w:sz w:val="24"/>
          <w:szCs w:val="24"/>
        </w:rPr>
        <w:t>a, b, and c show Kaplan Meier survival plots for each collagen gene.</w:t>
      </w:r>
      <w:r w:rsidR="001E01D6">
        <w:rPr>
          <w:rFonts w:ascii="Times New Roman" w:hAnsi="Times New Roman" w:cs="Times New Roman"/>
          <w:sz w:val="24"/>
          <w:szCs w:val="24"/>
        </w:rPr>
        <w:t xml:space="preserve">  </w:t>
      </w:r>
    </w:p>
    <w:p w14:paraId="7C092E22" w14:textId="7F0984F4" w:rsidR="007F2F30" w:rsidRDefault="007F2F30" w:rsidP="00FF5B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512BC7" wp14:editId="6D5865DA">
            <wp:extent cx="5799431" cy="3221583"/>
            <wp:effectExtent l="19050" t="19050" r="11430" b="17145"/>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660" cy="3251707"/>
                    </a:xfrm>
                    <a:prstGeom prst="rect">
                      <a:avLst/>
                    </a:prstGeom>
                    <a:noFill/>
                    <a:ln>
                      <a:solidFill>
                        <a:schemeClr val="tx1"/>
                      </a:solidFill>
                    </a:ln>
                  </pic:spPr>
                </pic:pic>
              </a:graphicData>
            </a:graphic>
          </wp:inline>
        </w:drawing>
      </w:r>
    </w:p>
    <w:p w14:paraId="073BBB14" w14:textId="50194A9D" w:rsidR="007F2F30" w:rsidRPr="006E507A" w:rsidRDefault="00FF5BF6" w:rsidP="007F2F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E507A"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sidR="006E507A" w:rsidRPr="006E507A">
        <w:rPr>
          <w:rFonts w:ascii="Times New Roman" w:hAnsi="Times New Roman" w:cs="Times New Roman"/>
          <w:b/>
          <w:bCs/>
          <w:sz w:val="24"/>
          <w:szCs w:val="24"/>
        </w:rPr>
        <w:t>a.  COL5A3 Kaplan-Meier Curve.</w:t>
      </w:r>
    </w:p>
    <w:p w14:paraId="5E426E86" w14:textId="77777777" w:rsidR="006E507A" w:rsidRDefault="006E507A" w:rsidP="007F2F30">
      <w:pPr>
        <w:autoSpaceDE w:val="0"/>
        <w:autoSpaceDN w:val="0"/>
        <w:adjustRightInd w:val="0"/>
        <w:spacing w:after="0" w:line="240" w:lineRule="auto"/>
        <w:rPr>
          <w:rFonts w:ascii="Times New Roman" w:hAnsi="Times New Roman" w:cs="Times New Roman"/>
          <w:sz w:val="24"/>
          <w:szCs w:val="24"/>
        </w:rPr>
      </w:pPr>
    </w:p>
    <w:p w14:paraId="4C8EE938" w14:textId="19CAE1CB" w:rsidR="00A54101" w:rsidRDefault="00A54101" w:rsidP="00FF5B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30AB7" wp14:editId="67E42D01">
            <wp:extent cx="5800725" cy="3411644"/>
            <wp:effectExtent l="19050" t="19050" r="9525" b="1778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7008" cy="3415339"/>
                    </a:xfrm>
                    <a:prstGeom prst="rect">
                      <a:avLst/>
                    </a:prstGeom>
                    <a:noFill/>
                    <a:ln>
                      <a:solidFill>
                        <a:schemeClr val="tx1"/>
                      </a:solidFill>
                    </a:ln>
                  </pic:spPr>
                </pic:pic>
              </a:graphicData>
            </a:graphic>
          </wp:inline>
        </w:drawing>
      </w:r>
    </w:p>
    <w:p w14:paraId="3C3C5B6B" w14:textId="0A3C8DD1" w:rsidR="006E507A" w:rsidRPr="006E507A" w:rsidRDefault="00FF5BF6"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E507A"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sidR="006E507A">
        <w:rPr>
          <w:rFonts w:ascii="Times New Roman" w:hAnsi="Times New Roman" w:cs="Times New Roman"/>
          <w:b/>
          <w:bCs/>
          <w:sz w:val="24"/>
          <w:szCs w:val="24"/>
        </w:rPr>
        <w:t>b</w:t>
      </w:r>
      <w:r w:rsidR="006E507A" w:rsidRPr="006E507A">
        <w:rPr>
          <w:rFonts w:ascii="Times New Roman" w:hAnsi="Times New Roman" w:cs="Times New Roman"/>
          <w:b/>
          <w:bCs/>
          <w:sz w:val="24"/>
          <w:szCs w:val="24"/>
        </w:rPr>
        <w:t>.  COL</w:t>
      </w:r>
      <w:r w:rsidR="006E507A">
        <w:rPr>
          <w:rFonts w:ascii="Times New Roman" w:hAnsi="Times New Roman" w:cs="Times New Roman"/>
          <w:b/>
          <w:bCs/>
          <w:sz w:val="24"/>
          <w:szCs w:val="24"/>
        </w:rPr>
        <w:t>12A1</w:t>
      </w:r>
      <w:r w:rsidR="006E507A" w:rsidRPr="006E507A">
        <w:rPr>
          <w:rFonts w:ascii="Times New Roman" w:hAnsi="Times New Roman" w:cs="Times New Roman"/>
          <w:b/>
          <w:bCs/>
          <w:sz w:val="24"/>
          <w:szCs w:val="24"/>
        </w:rPr>
        <w:t xml:space="preserve"> Kaplan-Meier Curve.</w:t>
      </w:r>
    </w:p>
    <w:p w14:paraId="2195E1E9"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7CC2CD2E" w14:textId="77777777" w:rsidR="00F73DC5" w:rsidRDefault="00F73DC5">
      <w:pPr>
        <w:rPr>
          <w:rFonts w:ascii="Times New Roman" w:hAnsi="Times New Roman" w:cs="Times New Roman"/>
          <w:sz w:val="24"/>
          <w:szCs w:val="24"/>
        </w:rPr>
      </w:pPr>
      <w:r>
        <w:rPr>
          <w:rFonts w:ascii="Times New Roman" w:hAnsi="Times New Roman" w:cs="Times New Roman"/>
          <w:sz w:val="24"/>
          <w:szCs w:val="24"/>
        </w:rPr>
        <w:br w:type="page"/>
      </w:r>
    </w:p>
    <w:p w14:paraId="5CA0B0E6" w14:textId="48F1BBEA" w:rsidR="00A54101" w:rsidRDefault="00A54101" w:rsidP="00FF5B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41B1B" wp14:editId="21154B2D">
            <wp:extent cx="5796280" cy="3309366"/>
            <wp:effectExtent l="19050" t="19050" r="13970" b="2476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1700" cy="3318170"/>
                    </a:xfrm>
                    <a:prstGeom prst="rect">
                      <a:avLst/>
                    </a:prstGeom>
                    <a:noFill/>
                    <a:ln>
                      <a:solidFill>
                        <a:schemeClr val="tx1"/>
                      </a:solidFill>
                    </a:ln>
                  </pic:spPr>
                </pic:pic>
              </a:graphicData>
            </a:graphic>
          </wp:inline>
        </w:drawing>
      </w:r>
    </w:p>
    <w:p w14:paraId="3FB0C62F" w14:textId="34AEA448" w:rsidR="006E507A" w:rsidRDefault="00FF5BF6"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E507A" w:rsidRPr="006E507A">
        <w:rPr>
          <w:rFonts w:ascii="Times New Roman" w:hAnsi="Times New Roman" w:cs="Times New Roman"/>
          <w:b/>
          <w:bCs/>
          <w:sz w:val="24"/>
          <w:szCs w:val="24"/>
        </w:rPr>
        <w:t xml:space="preserve">Figure </w:t>
      </w:r>
      <w:r w:rsidR="001E01D6">
        <w:rPr>
          <w:rFonts w:ascii="Times New Roman" w:hAnsi="Times New Roman" w:cs="Times New Roman"/>
          <w:b/>
          <w:bCs/>
          <w:sz w:val="24"/>
          <w:szCs w:val="24"/>
        </w:rPr>
        <w:t>10</w:t>
      </w:r>
      <w:r w:rsidR="006E507A">
        <w:rPr>
          <w:rFonts w:ascii="Times New Roman" w:hAnsi="Times New Roman" w:cs="Times New Roman"/>
          <w:b/>
          <w:bCs/>
          <w:sz w:val="24"/>
          <w:szCs w:val="24"/>
        </w:rPr>
        <w:t>c</w:t>
      </w:r>
      <w:r w:rsidR="006E507A" w:rsidRPr="006E507A">
        <w:rPr>
          <w:rFonts w:ascii="Times New Roman" w:hAnsi="Times New Roman" w:cs="Times New Roman"/>
          <w:b/>
          <w:bCs/>
          <w:sz w:val="24"/>
          <w:szCs w:val="24"/>
        </w:rPr>
        <w:t>.  COL</w:t>
      </w:r>
      <w:r w:rsidR="006E507A">
        <w:rPr>
          <w:rFonts w:ascii="Times New Roman" w:hAnsi="Times New Roman" w:cs="Times New Roman"/>
          <w:b/>
          <w:bCs/>
          <w:sz w:val="24"/>
          <w:szCs w:val="24"/>
        </w:rPr>
        <w:t>4A3BP</w:t>
      </w:r>
      <w:r w:rsidR="006E507A" w:rsidRPr="006E507A">
        <w:rPr>
          <w:rFonts w:ascii="Times New Roman" w:hAnsi="Times New Roman" w:cs="Times New Roman"/>
          <w:b/>
          <w:bCs/>
          <w:sz w:val="24"/>
          <w:szCs w:val="24"/>
        </w:rPr>
        <w:t xml:space="preserve"> Kaplan-Meier Curve.</w:t>
      </w:r>
    </w:p>
    <w:p w14:paraId="12AE8F9F" w14:textId="0D5D6C89" w:rsidR="00F73DC5" w:rsidRDefault="00FF5BF6"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F0581">
        <w:rPr>
          <w:rFonts w:ascii="Times New Roman" w:hAnsi="Times New Roman" w:cs="Times New Roman"/>
          <w:b/>
          <w:bCs/>
          <w:sz w:val="24"/>
          <w:szCs w:val="24"/>
        </w:rPr>
        <w:t>*</w:t>
      </w:r>
      <w:r w:rsidR="006F0581" w:rsidRPr="006F0581">
        <w:rPr>
          <w:rFonts w:ascii="Times New Roman" w:hAnsi="Times New Roman" w:cs="Times New Roman"/>
          <w:sz w:val="24"/>
          <w:szCs w:val="24"/>
        </w:rPr>
        <w:t xml:space="preserve"> </w:t>
      </w:r>
      <w:r w:rsidR="006F0581" w:rsidRPr="006F0581">
        <w:rPr>
          <w:rFonts w:ascii="Times New Roman" w:hAnsi="Times New Roman" w:cs="Times New Roman"/>
          <w:b/>
          <w:bCs/>
          <w:sz w:val="24"/>
          <w:szCs w:val="24"/>
        </w:rPr>
        <w:t xml:space="preserve">Shown in Appendix C are additional Kaplan-Meier curves with confidence intervals </w:t>
      </w:r>
      <w:r>
        <w:rPr>
          <w:rFonts w:ascii="Times New Roman" w:hAnsi="Times New Roman" w:cs="Times New Roman"/>
          <w:b/>
          <w:bCs/>
          <w:sz w:val="24"/>
          <w:szCs w:val="24"/>
        </w:rPr>
        <w:t xml:space="preserve">    </w:t>
      </w:r>
      <w:r w:rsidR="00CB317E" w:rsidRPr="006F0581">
        <w:rPr>
          <w:rFonts w:ascii="Times New Roman" w:hAnsi="Times New Roman" w:cs="Times New Roman"/>
          <w:b/>
          <w:bCs/>
          <w:sz w:val="24"/>
          <w:szCs w:val="24"/>
        </w:rPr>
        <w:t>presented</w:t>
      </w:r>
      <w:r w:rsidR="001B11BF">
        <w:rPr>
          <w:rFonts w:ascii="Times New Roman" w:hAnsi="Times New Roman" w:cs="Times New Roman"/>
          <w:b/>
          <w:bCs/>
          <w:sz w:val="24"/>
          <w:szCs w:val="24"/>
        </w:rPr>
        <w:t xml:space="preserve"> (created in R-Studio)</w:t>
      </w:r>
    </w:p>
    <w:p w14:paraId="2D3EBFD3" w14:textId="07414001" w:rsidR="006F0581" w:rsidRDefault="00F73DC5"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**Shown in </w:t>
      </w:r>
      <w:r w:rsidR="00DA7710">
        <w:rPr>
          <w:rFonts w:ascii="Times New Roman" w:hAnsi="Times New Roman" w:cs="Times New Roman"/>
          <w:b/>
          <w:bCs/>
          <w:sz w:val="24"/>
          <w:szCs w:val="24"/>
        </w:rPr>
        <w:t xml:space="preserve">Appendix </w:t>
      </w:r>
      <w:proofErr w:type="spellStart"/>
      <w:r w:rsidR="00DA7710">
        <w:rPr>
          <w:rFonts w:ascii="Times New Roman" w:hAnsi="Times New Roman" w:cs="Times New Roman"/>
          <w:b/>
          <w:bCs/>
          <w:sz w:val="24"/>
          <w:szCs w:val="24"/>
        </w:rPr>
        <w:t xml:space="preserve">D </w:t>
      </w:r>
      <w:r w:rsidR="00CB317E">
        <w:rPr>
          <w:rFonts w:ascii="Times New Roman" w:hAnsi="Times New Roman" w:cs="Times New Roman"/>
          <w:b/>
          <w:bCs/>
          <w:sz w:val="24"/>
          <w:szCs w:val="24"/>
        </w:rPr>
        <w:t>are</w:t>
      </w:r>
      <w:proofErr w:type="spellEnd"/>
      <w:r w:rsidR="00DA7710">
        <w:rPr>
          <w:rFonts w:ascii="Times New Roman" w:hAnsi="Times New Roman" w:cs="Times New Roman"/>
          <w:b/>
          <w:bCs/>
          <w:sz w:val="24"/>
          <w:szCs w:val="24"/>
        </w:rPr>
        <w:t xml:space="preserve"> hazard function models</w:t>
      </w:r>
      <w:r w:rsidR="00BB72BA">
        <w:rPr>
          <w:rFonts w:ascii="Times New Roman" w:hAnsi="Times New Roman" w:cs="Times New Roman"/>
          <w:b/>
          <w:bCs/>
          <w:sz w:val="24"/>
          <w:szCs w:val="24"/>
        </w:rPr>
        <w:t>.</w:t>
      </w:r>
    </w:p>
    <w:p w14:paraId="52DC2259" w14:textId="79AF99E5" w:rsidR="00F73DC5" w:rsidRPr="006E507A" w:rsidRDefault="00F73DC5"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Shown in Appendix E </w:t>
      </w:r>
      <w:r w:rsidR="00CB317E">
        <w:rPr>
          <w:rFonts w:ascii="Times New Roman" w:hAnsi="Times New Roman" w:cs="Times New Roman"/>
          <w:b/>
          <w:bCs/>
          <w:sz w:val="24"/>
          <w:szCs w:val="24"/>
        </w:rPr>
        <w:t>is the</w:t>
      </w:r>
      <w:r>
        <w:rPr>
          <w:rFonts w:ascii="Times New Roman" w:hAnsi="Times New Roman" w:cs="Times New Roman"/>
          <w:b/>
          <w:bCs/>
          <w:sz w:val="24"/>
          <w:szCs w:val="24"/>
        </w:rPr>
        <w:t xml:space="preserve"> Kaplan-Meier </w:t>
      </w:r>
      <w:r w:rsidR="007245DC">
        <w:rPr>
          <w:rFonts w:ascii="Times New Roman" w:hAnsi="Times New Roman" w:cs="Times New Roman"/>
          <w:b/>
          <w:bCs/>
          <w:sz w:val="24"/>
          <w:szCs w:val="24"/>
        </w:rPr>
        <w:t>curve and the hazard function</w:t>
      </w:r>
      <w:r>
        <w:rPr>
          <w:rFonts w:ascii="Times New Roman" w:hAnsi="Times New Roman" w:cs="Times New Roman"/>
          <w:b/>
          <w:bCs/>
          <w:sz w:val="24"/>
          <w:szCs w:val="24"/>
        </w:rPr>
        <w:t xml:space="preserve"> at the mean of covariates.</w:t>
      </w:r>
    </w:p>
    <w:p w14:paraId="1BAF5C72"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2737CF09" w14:textId="5CD033E0" w:rsidR="008655FF" w:rsidRPr="0043385D" w:rsidRDefault="00AC3ED5" w:rsidP="000223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Gene COL5A3 </w:t>
      </w:r>
      <w:r w:rsidR="002C4691">
        <w:rPr>
          <w:rFonts w:ascii="Times New Roman" w:hAnsi="Times New Roman" w:cs="Times New Roman"/>
          <w:sz w:val="24"/>
          <w:szCs w:val="24"/>
        </w:rPr>
        <w:t xml:space="preserve">in Figure </w:t>
      </w:r>
      <w:r w:rsidR="00D74CB4">
        <w:rPr>
          <w:rFonts w:ascii="Times New Roman" w:hAnsi="Times New Roman" w:cs="Times New Roman"/>
          <w:sz w:val="24"/>
          <w:szCs w:val="24"/>
        </w:rPr>
        <w:t>10</w:t>
      </w:r>
      <w:r w:rsidR="002C4691">
        <w:rPr>
          <w:rFonts w:ascii="Times New Roman" w:hAnsi="Times New Roman" w:cs="Times New Roman"/>
          <w:sz w:val="24"/>
          <w:szCs w:val="24"/>
        </w:rPr>
        <w:t xml:space="preserve">a </w:t>
      </w:r>
      <w:r>
        <w:rPr>
          <w:rFonts w:ascii="Times New Roman" w:hAnsi="Times New Roman" w:cs="Times New Roman"/>
          <w:sz w:val="24"/>
          <w:szCs w:val="24"/>
        </w:rPr>
        <w:t xml:space="preserve">has a very distinct and visible </w:t>
      </w:r>
      <w:r w:rsidR="0002238F">
        <w:rPr>
          <w:rFonts w:ascii="Times New Roman" w:hAnsi="Times New Roman" w:cs="Times New Roman"/>
          <w:sz w:val="24"/>
          <w:szCs w:val="24"/>
        </w:rPr>
        <w:t xml:space="preserve">deletion mutation </w:t>
      </w:r>
      <w:r>
        <w:rPr>
          <w:rFonts w:ascii="Times New Roman" w:hAnsi="Times New Roman" w:cs="Times New Roman"/>
          <w:sz w:val="24"/>
          <w:szCs w:val="24"/>
        </w:rPr>
        <w:t xml:space="preserve">survival difference between </w:t>
      </w:r>
      <w:r w:rsidR="0002238F">
        <w:rPr>
          <w:rFonts w:ascii="Times New Roman" w:hAnsi="Times New Roman" w:cs="Times New Roman"/>
          <w:sz w:val="24"/>
          <w:szCs w:val="24"/>
        </w:rPr>
        <w:t>roughly 300</w:t>
      </w:r>
      <w:r>
        <w:rPr>
          <w:rFonts w:ascii="Times New Roman" w:hAnsi="Times New Roman" w:cs="Times New Roman"/>
          <w:sz w:val="24"/>
          <w:szCs w:val="24"/>
        </w:rPr>
        <w:t xml:space="preserve"> days and 1</w:t>
      </w:r>
      <w:r w:rsidR="00412909">
        <w:rPr>
          <w:rFonts w:ascii="Times New Roman" w:hAnsi="Times New Roman" w:cs="Times New Roman"/>
          <w:sz w:val="24"/>
          <w:szCs w:val="24"/>
        </w:rPr>
        <w:t>,</w:t>
      </w:r>
      <w:r>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w:t>
      </w:r>
      <w:r w:rsidR="0002339A">
        <w:rPr>
          <w:rFonts w:ascii="Times New Roman" w:hAnsi="Times New Roman" w:cs="Times New Roman"/>
          <w:sz w:val="24"/>
          <w:szCs w:val="24"/>
        </w:rPr>
        <w:t xml:space="preserve">  It is important to note that the deletion curve </w:t>
      </w:r>
      <w:r w:rsidR="005E7804">
        <w:rPr>
          <w:rFonts w:ascii="Times New Roman" w:hAnsi="Times New Roman" w:cs="Times New Roman"/>
          <w:sz w:val="24"/>
          <w:szCs w:val="24"/>
        </w:rPr>
        <w:t xml:space="preserve">only just </w:t>
      </w:r>
      <w:r w:rsidR="0002339A">
        <w:rPr>
          <w:rFonts w:ascii="Times New Roman" w:hAnsi="Times New Roman" w:cs="Times New Roman"/>
          <w:sz w:val="24"/>
          <w:szCs w:val="24"/>
        </w:rPr>
        <w:t>crosses the normal CNV curve at around 2</w:t>
      </w:r>
      <w:r w:rsidR="005E7804">
        <w:rPr>
          <w:rFonts w:ascii="Times New Roman" w:hAnsi="Times New Roman" w:cs="Times New Roman"/>
          <w:sz w:val="24"/>
          <w:szCs w:val="24"/>
        </w:rPr>
        <w:t>,</w:t>
      </w:r>
      <w:r w:rsidR="0002339A">
        <w:rPr>
          <w:rFonts w:ascii="Times New Roman" w:hAnsi="Times New Roman" w:cs="Times New Roman"/>
          <w:sz w:val="24"/>
          <w:szCs w:val="24"/>
        </w:rPr>
        <w:t>400 days.</w:t>
      </w:r>
    </w:p>
    <w:p w14:paraId="160DF038" w14:textId="10AF5F7E"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2C4691">
        <w:rPr>
          <w:rFonts w:ascii="Times New Roman" w:hAnsi="Times New Roman" w:cs="Times New Roman"/>
          <w:sz w:val="24"/>
          <w:szCs w:val="24"/>
        </w:rPr>
        <w:t xml:space="preserve">shown in Figure </w:t>
      </w:r>
      <w:r w:rsidR="00D74CB4">
        <w:rPr>
          <w:rFonts w:ascii="Times New Roman" w:hAnsi="Times New Roman" w:cs="Times New Roman"/>
          <w:sz w:val="24"/>
          <w:szCs w:val="24"/>
        </w:rPr>
        <w:t>10</w:t>
      </w:r>
      <w:r w:rsidR="002C4691">
        <w:rPr>
          <w:rFonts w:ascii="Times New Roman" w:hAnsi="Times New Roman" w:cs="Times New Roman"/>
          <w:sz w:val="24"/>
          <w:szCs w:val="24"/>
        </w:rPr>
        <w:t xml:space="preserve">b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w:t>
      </w:r>
      <w:r w:rsidR="004C338C" w:rsidRPr="0043385D">
        <w:rPr>
          <w:rFonts w:ascii="Times New Roman" w:hAnsi="Times New Roman" w:cs="Times New Roman"/>
          <w:sz w:val="24"/>
          <w:szCs w:val="24"/>
        </w:rPr>
        <w:t>just about</w:t>
      </w:r>
      <w:r w:rsidRPr="0043385D">
        <w:rPr>
          <w:rFonts w:ascii="Times New Roman" w:hAnsi="Times New Roman" w:cs="Times New Roman"/>
          <w:sz w:val="24"/>
          <w:szCs w:val="24"/>
        </w:rPr>
        <w:t xml:space="preserve">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02238F">
        <w:rPr>
          <w:rFonts w:ascii="Times New Roman" w:eastAsia="Times New Roman" w:hAnsi="Times New Roman" w:cs="Times New Roman"/>
          <w:color w:val="000000"/>
          <w:sz w:val="24"/>
          <w:szCs w:val="24"/>
        </w:rPr>
        <w:t>these mutation stratifications</w:t>
      </w:r>
      <w:r w:rsidRPr="0043385D">
        <w:rPr>
          <w:rFonts w:ascii="Times New Roman" w:eastAsia="Times New Roman" w:hAnsi="Times New Roman" w:cs="Times New Roman"/>
          <w:color w:val="000000"/>
          <w:sz w:val="24"/>
          <w:szCs w:val="24"/>
        </w:rPr>
        <w:t xml:space="preserve"> </w:t>
      </w:r>
      <w:r w:rsidR="0002238F">
        <w:rPr>
          <w:rFonts w:ascii="Times New Roman" w:eastAsia="Times New Roman" w:hAnsi="Times New Roman" w:cs="Times New Roman"/>
          <w:color w:val="000000"/>
          <w:sz w:val="24"/>
          <w:szCs w:val="24"/>
        </w:rPr>
        <w:t>were</w:t>
      </w:r>
      <w:r w:rsidRPr="0043385D">
        <w:rPr>
          <w:rFonts w:ascii="Times New Roman" w:eastAsia="Times New Roman" w:hAnsi="Times New Roman" w:cs="Times New Roman"/>
          <w:color w:val="000000"/>
          <w:sz w:val="24"/>
          <w:szCs w:val="24"/>
        </w:rPr>
        <w:t xml:space="preserve"> not statistically significant.  </w:t>
      </w:r>
      <w:r w:rsidR="0002339A">
        <w:rPr>
          <w:rFonts w:ascii="Times New Roman" w:eastAsia="Times New Roman" w:hAnsi="Times New Roman" w:cs="Times New Roman"/>
          <w:color w:val="000000"/>
          <w:sz w:val="24"/>
          <w:szCs w:val="24"/>
        </w:rPr>
        <w:t>This figure also has survival curves crossing with the duplication stratification crossing both deletion and normal CNV lines.</w:t>
      </w:r>
    </w:p>
    <w:p w14:paraId="63294747" w14:textId="5D480B10" w:rsidR="004E6E7C" w:rsidRPr="0043385D" w:rsidRDefault="00665BAF" w:rsidP="004E6E7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Collagen gene </w:t>
      </w:r>
      <w:r w:rsidR="004E6E7C" w:rsidRPr="0043385D">
        <w:rPr>
          <w:rFonts w:ascii="Times New Roman" w:eastAsia="Times New Roman" w:hAnsi="Times New Roman" w:cs="Times New Roman"/>
          <w:color w:val="000000"/>
          <w:sz w:val="24"/>
          <w:szCs w:val="24"/>
        </w:rPr>
        <w:t xml:space="preserve">COL4A3BP </w:t>
      </w:r>
      <w:r>
        <w:rPr>
          <w:rFonts w:ascii="Times New Roman" w:eastAsia="Times New Roman" w:hAnsi="Times New Roman" w:cs="Times New Roman"/>
          <w:color w:val="000000"/>
          <w:sz w:val="24"/>
          <w:szCs w:val="24"/>
        </w:rPr>
        <w:t xml:space="preserve">in Figure </w:t>
      </w:r>
      <w:r w:rsidR="00D74CB4">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 xml:space="preserve">c </w:t>
      </w:r>
      <w:r w:rsidR="004E6E7C" w:rsidRPr="0043385D">
        <w:rPr>
          <w:rFonts w:ascii="Times New Roman" w:eastAsia="Times New Roman" w:hAnsi="Times New Roman" w:cs="Times New Roman"/>
          <w:color w:val="000000"/>
          <w:sz w:val="24"/>
          <w:szCs w:val="24"/>
        </w:rPr>
        <w:t xml:space="preserve">is only significant with regards to duplication when compared to </w:t>
      </w:r>
      <w:r w:rsidR="00E52813">
        <w:rPr>
          <w:rFonts w:ascii="Times New Roman" w:eastAsia="Times New Roman" w:hAnsi="Times New Roman" w:cs="Times New Roman"/>
          <w:color w:val="000000"/>
          <w:sz w:val="24"/>
          <w:szCs w:val="24"/>
        </w:rPr>
        <w:t>normal</w:t>
      </w:r>
      <w:r w:rsidR="00E84B83">
        <w:rPr>
          <w:rFonts w:ascii="Times New Roman" w:eastAsia="Times New Roman" w:hAnsi="Times New Roman" w:cs="Times New Roman"/>
          <w:color w:val="000000"/>
          <w:sz w:val="24"/>
          <w:szCs w:val="24"/>
        </w:rPr>
        <w:t xml:space="preserve"> CNV</w:t>
      </w:r>
      <w:r w:rsidR="004E6E7C" w:rsidRPr="0043385D">
        <w:rPr>
          <w:rFonts w:ascii="Times New Roman" w:eastAsia="Times New Roman" w:hAnsi="Times New Roman" w:cs="Times New Roman"/>
          <w:color w:val="000000"/>
          <w:sz w:val="24"/>
          <w:szCs w:val="24"/>
        </w:rPr>
        <w:t>.</w:t>
      </w:r>
      <w:r w:rsidR="00E52813">
        <w:rPr>
          <w:rFonts w:ascii="Times New Roman" w:eastAsia="Times New Roman" w:hAnsi="Times New Roman" w:cs="Times New Roman"/>
          <w:color w:val="000000"/>
          <w:sz w:val="24"/>
          <w:szCs w:val="24"/>
        </w:rPr>
        <w:t xml:space="preserve">  However, the data for this stratification was sparse as can be seen by the number of events as compared to the other stratifications.</w:t>
      </w:r>
      <w:r w:rsidR="0002339A">
        <w:rPr>
          <w:rFonts w:ascii="Times New Roman" w:eastAsia="Times New Roman" w:hAnsi="Times New Roman" w:cs="Times New Roman"/>
          <w:color w:val="000000"/>
          <w:sz w:val="24"/>
          <w:szCs w:val="24"/>
        </w:rPr>
        <w:t xml:space="preserve">  This model does not display curve overlap with the statistically significant duplication </w:t>
      </w:r>
      <w:r w:rsidR="00E919FF">
        <w:rPr>
          <w:rFonts w:ascii="Times New Roman" w:eastAsia="Times New Roman" w:hAnsi="Times New Roman" w:cs="Times New Roman"/>
          <w:color w:val="000000"/>
          <w:sz w:val="24"/>
          <w:szCs w:val="24"/>
        </w:rPr>
        <w:t>stratification but</w:t>
      </w:r>
      <w:r w:rsidR="0002339A">
        <w:rPr>
          <w:rFonts w:ascii="Times New Roman" w:eastAsia="Times New Roman" w:hAnsi="Times New Roman" w:cs="Times New Roman"/>
          <w:color w:val="000000"/>
          <w:sz w:val="24"/>
          <w:szCs w:val="24"/>
        </w:rPr>
        <w:t xml:space="preserve"> does show curve overlap between normal and deletion CNV stratifications.</w:t>
      </w:r>
    </w:p>
    <w:p w14:paraId="52311647" w14:textId="14A9CCA3"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C63FA7">
        <w:rPr>
          <w:rFonts w:ascii="Times New Roman" w:eastAsia="SimSun" w:hAnsi="Times New Roman" w:cs="Times New Roman"/>
          <w:sz w:val="24"/>
          <w:szCs w:val="24"/>
        </w:rPr>
        <w:t>4</w:t>
      </w:r>
      <w:r>
        <w:rPr>
          <w:rFonts w:ascii="Times New Roman" w:eastAsia="SimSun" w:hAnsi="Times New Roman" w:cs="Times New Roman"/>
          <w:sz w:val="24"/>
          <w:szCs w:val="24"/>
        </w:rPr>
        <w:t xml:space="preserve"> displays </w:t>
      </w:r>
      <w:r w:rsidR="007B46D0">
        <w:rPr>
          <w:rFonts w:ascii="Times New Roman" w:eastAsia="SimSun" w:hAnsi="Times New Roman" w:cs="Times New Roman"/>
          <w:sz w:val="24"/>
          <w:szCs w:val="24"/>
        </w:rPr>
        <w:t>observed against expected outcomes from the log-rank test</w:t>
      </w:r>
      <w:r>
        <w:rPr>
          <w:rFonts w:ascii="Times New Roman" w:eastAsia="SimSun" w:hAnsi="Times New Roman" w:cs="Times New Roman"/>
          <w:sz w:val="24"/>
          <w:szCs w:val="24"/>
        </w:rPr>
        <w:t xml:space="preserve">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076DA75D" w14:textId="77777777" w:rsidR="00502BB4" w:rsidRDefault="00502BB4">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48D499C9" w14:textId="46D7BB5D"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Table </w:t>
      </w:r>
      <w:r w:rsidR="00C63FA7">
        <w:rPr>
          <w:rFonts w:ascii="Times New Roman" w:eastAsia="SimSun" w:hAnsi="Times New Roman" w:cs="Times New Roman"/>
          <w:b/>
          <w:bCs/>
          <w:sz w:val="24"/>
          <w:szCs w:val="24"/>
        </w:rPr>
        <w:t>4</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2"/>
        <w:gridCol w:w="1534"/>
        <w:gridCol w:w="1747"/>
        <w:gridCol w:w="1679"/>
      </w:tblGrid>
      <w:tr w:rsidR="00C856F0" w:rsidRPr="00C856F0" w14:paraId="519ACFDC" w14:textId="77777777" w:rsidTr="007D3C66">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34"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747"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679"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7D3C6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tcBorders>
              <w:top w:val="single" w:sz="4" w:space="0" w:color="auto"/>
            </w:tcBorders>
            <w:noWrap/>
            <w:hideMark/>
          </w:tcPr>
          <w:p w14:paraId="3B2510D3" w14:textId="763FED84"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34"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747"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679"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7D3C66">
        <w:trPr>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15FAA579" w14:textId="5559EF5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34"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747"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679"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7D3C6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226A51E2" w14:textId="1C0800B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34"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747"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679"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7D3C66">
        <w:trPr>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187DC2B9" w14:textId="0D87C60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34"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747"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679"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7D3C6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34"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747"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679"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7D3C66">
        <w:trPr>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4F5C5C46" w14:textId="2CC4FC1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34"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747"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679"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7D3C6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34"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747"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679"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7D3C66">
        <w:trPr>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3A60DFB7" w14:textId="7A10E1D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34"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747"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679"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7D3C6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382"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34"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747"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679"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3FD5E12D" w14:textId="0D7ADF6D" w:rsidR="00002B1B" w:rsidRDefault="00AB5461" w:rsidP="00002B1B">
      <w:pPr>
        <w:spacing w:line="240" w:lineRule="auto"/>
        <w:rPr>
          <w:rFonts w:ascii="Times New Roman" w:hAnsi="Times New Roman" w:cs="Times New Roman"/>
          <w:sz w:val="24"/>
          <w:szCs w:val="24"/>
        </w:rPr>
      </w:pPr>
      <w:r w:rsidRPr="00EF6C7E">
        <w:rPr>
          <w:rFonts w:ascii="Times New Roman" w:hAnsi="Times New Roman" w:cs="Times New Roman"/>
          <w:b/>
          <w:bCs/>
          <w:sz w:val="24"/>
          <w:szCs w:val="24"/>
        </w:rPr>
        <w:t>*</w:t>
      </w:r>
      <w:r w:rsidR="002646AA">
        <w:rPr>
          <w:rFonts w:ascii="Times New Roman" w:hAnsi="Times New Roman" w:cs="Times New Roman"/>
          <w:b/>
          <w:bCs/>
          <w:sz w:val="24"/>
          <w:szCs w:val="24"/>
        </w:rPr>
        <w:t>S</w:t>
      </w:r>
      <w:r w:rsidRPr="00EF6C7E">
        <w:rPr>
          <w:rFonts w:ascii="Times New Roman" w:hAnsi="Times New Roman" w:cs="Times New Roman"/>
          <w:b/>
          <w:bCs/>
          <w:sz w:val="24"/>
          <w:szCs w:val="24"/>
        </w:rPr>
        <w:t>tatistical significance with p-value &lt; 0.05</w:t>
      </w:r>
      <w:r w:rsidRPr="00E60AC5">
        <w:rPr>
          <w:rFonts w:ascii="Times New Roman" w:hAnsi="Times New Roman" w:cs="Times New Roman"/>
          <w:sz w:val="24"/>
          <w:szCs w:val="24"/>
        </w:rPr>
        <w:t>.</w:t>
      </w:r>
      <w:r w:rsidR="00002B1B">
        <w:rPr>
          <w:rFonts w:ascii="Times New Roman" w:hAnsi="Times New Roman" w:cs="Times New Roman"/>
          <w:sz w:val="24"/>
          <w:szCs w:val="24"/>
        </w:rPr>
        <w:br/>
      </w:r>
    </w:p>
    <w:p w14:paraId="0CE4A8EA" w14:textId="7DF12177" w:rsidR="00C856F0" w:rsidRDefault="00C856F0" w:rsidP="00002B1B">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r w:rsidR="00002B1B">
        <w:rPr>
          <w:rFonts w:ascii="Times New Roman" w:hAnsi="Times New Roman" w:cs="Times New Roman"/>
          <w:sz w:val="24"/>
          <w:szCs w:val="24"/>
        </w:rPr>
        <w:t xml:space="preserve">  </w:t>
      </w:r>
      <w:r w:rsidR="00002B1B" w:rsidRPr="00002B1B">
        <w:rPr>
          <w:rFonts w:ascii="Times New Roman" w:hAnsi="Times New Roman" w:cs="Times New Roman"/>
          <w:sz w:val="24"/>
          <w:szCs w:val="24"/>
        </w:rPr>
        <w:t xml:space="preserve">Highlighted in red are observed events which are greater than expected events, </w:t>
      </w:r>
      <w:r w:rsidR="007C3463" w:rsidRPr="00002B1B">
        <w:rPr>
          <w:rFonts w:ascii="Times New Roman" w:hAnsi="Times New Roman" w:cs="Times New Roman"/>
          <w:sz w:val="24"/>
          <w:szCs w:val="24"/>
        </w:rPr>
        <w:t>indicating</w:t>
      </w:r>
      <w:r w:rsidR="00002B1B" w:rsidRPr="00002B1B">
        <w:rPr>
          <w:rFonts w:ascii="Times New Roman" w:hAnsi="Times New Roman" w:cs="Times New Roman"/>
          <w:sz w:val="24"/>
          <w:szCs w:val="24"/>
        </w:rPr>
        <w:t xml:space="preserve"> a decreased probability of survival.</w:t>
      </w:r>
    </w:p>
    <w:p w14:paraId="01D4D2BD" w14:textId="213DE1A0" w:rsidR="00EB46D1" w:rsidRDefault="008655FF" w:rsidP="006278C7">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w:t>
      </w:r>
      <w:r w:rsidR="0097131C">
        <w:rPr>
          <w:rFonts w:ascii="Times New Roman" w:hAnsi="Times New Roman" w:cs="Times New Roman"/>
          <w:sz w:val="24"/>
          <w:szCs w:val="24"/>
        </w:rPr>
        <w:t>5</w:t>
      </w:r>
      <w:r>
        <w:rPr>
          <w:rFonts w:ascii="Times New Roman" w:hAnsi="Times New Roman" w:cs="Times New Roman"/>
          <w:sz w:val="24"/>
          <w:szCs w:val="24"/>
        </w:rPr>
        <w:t xml:space="preserve"> lists </w:t>
      </w:r>
      <w:r w:rsidR="004E6240">
        <w:rPr>
          <w:rFonts w:ascii="Times New Roman" w:hAnsi="Times New Roman" w:cs="Times New Roman"/>
          <w:sz w:val="24"/>
          <w:szCs w:val="24"/>
        </w:rPr>
        <w:t xml:space="preserve">mean and </w:t>
      </w:r>
      <w:r>
        <w:rPr>
          <w:rFonts w:ascii="Times New Roman" w:hAnsi="Times New Roman" w:cs="Times New Roman"/>
          <w:sz w:val="24"/>
          <w:szCs w:val="24"/>
        </w:rPr>
        <w:t xml:space="preserve">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r w:rsidR="00EB46D1">
        <w:rPr>
          <w:rFonts w:ascii="Times New Roman" w:hAnsi="Times New Roman" w:cs="Times New Roman"/>
          <w:b/>
          <w:bCs/>
          <w:sz w:val="24"/>
          <w:szCs w:val="24"/>
        </w:rPr>
        <w:br w:type="page"/>
      </w:r>
    </w:p>
    <w:p w14:paraId="42D3E127" w14:textId="670A418F"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97131C">
        <w:rPr>
          <w:rFonts w:ascii="Times New Roman" w:hAnsi="Times New Roman" w:cs="Times New Roman"/>
          <w:b/>
          <w:bCs/>
          <w:sz w:val="24"/>
          <w:szCs w:val="24"/>
        </w:rPr>
        <w:t>5</w:t>
      </w:r>
      <w:r>
        <w:rPr>
          <w:rFonts w:ascii="Times New Roman" w:hAnsi="Times New Roman" w:cs="Times New Roman"/>
          <w:b/>
          <w:bCs/>
          <w:sz w:val="24"/>
          <w:szCs w:val="24"/>
        </w:rPr>
        <w:t xml:space="preserve">. </w:t>
      </w:r>
      <w:r w:rsidR="00105924">
        <w:rPr>
          <w:rFonts w:ascii="Times New Roman" w:hAnsi="Times New Roman" w:cs="Times New Roman"/>
          <w:b/>
          <w:bCs/>
          <w:sz w:val="24"/>
          <w:szCs w:val="24"/>
        </w:rPr>
        <w:t xml:space="preserve">Mean and </w:t>
      </w:r>
      <w:r>
        <w:rPr>
          <w:rFonts w:ascii="Times New Roman" w:hAnsi="Times New Roman" w:cs="Times New Roman"/>
          <w:b/>
          <w:bCs/>
          <w:sz w:val="24"/>
          <w:szCs w:val="24"/>
        </w:rPr>
        <w:t xml:space="preserve">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2"/>
        <w:tblW w:w="9852" w:type="dxa"/>
        <w:jc w:val="center"/>
        <w:tblLook w:val="04A0" w:firstRow="1" w:lastRow="0" w:firstColumn="1" w:lastColumn="0" w:noHBand="0" w:noVBand="1"/>
      </w:tblPr>
      <w:tblGrid>
        <w:gridCol w:w="1760"/>
        <w:gridCol w:w="1143"/>
        <w:gridCol w:w="950"/>
        <w:gridCol w:w="974"/>
        <w:gridCol w:w="977"/>
        <w:gridCol w:w="1143"/>
        <w:gridCol w:w="950"/>
        <w:gridCol w:w="974"/>
        <w:gridCol w:w="975"/>
        <w:gridCol w:w="6"/>
      </w:tblGrid>
      <w:tr w:rsidR="00105924" w:rsidRPr="007D34FE" w14:paraId="3C1D13BF" w14:textId="77777777" w:rsidTr="007D3C66">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64" w:type="dxa"/>
            <w:vMerge w:val="restart"/>
            <w:tcBorders>
              <w:top w:val="single" w:sz="4" w:space="0" w:color="auto"/>
              <w:left w:val="single" w:sz="4" w:space="0" w:color="auto"/>
            </w:tcBorders>
            <w:vAlign w:val="center"/>
            <w:hideMark/>
          </w:tcPr>
          <w:p w14:paraId="025D85F6" w14:textId="77777777" w:rsidR="007D34FE" w:rsidRPr="007D34FE" w:rsidRDefault="007D34FE" w:rsidP="00105924">
            <w:pPr>
              <w:jc w:val="center"/>
              <w:rPr>
                <w:rFonts w:ascii="Times New Roman" w:eastAsia="Times New Roman" w:hAnsi="Times New Roman" w:cs="Times New Roman"/>
                <w:sz w:val="20"/>
                <w:szCs w:val="20"/>
              </w:rPr>
            </w:pPr>
          </w:p>
        </w:tc>
        <w:tc>
          <w:tcPr>
            <w:tcW w:w="4044" w:type="dxa"/>
            <w:gridSpan w:val="4"/>
            <w:tcBorders>
              <w:top w:val="single" w:sz="4" w:space="0" w:color="auto"/>
            </w:tcBorders>
            <w:vAlign w:val="center"/>
            <w:hideMark/>
          </w:tcPr>
          <w:p w14:paraId="58E8D601" w14:textId="1F8ADD52"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Mean</w:t>
            </w:r>
            <w:r w:rsidR="001930BE">
              <w:rPr>
                <w:rFonts w:ascii="Arial" w:eastAsia="Times New Roman" w:hAnsi="Arial" w:cs="Arial"/>
                <w:color w:val="993300"/>
              </w:rPr>
              <w:t>*</w:t>
            </w:r>
          </w:p>
        </w:tc>
        <w:tc>
          <w:tcPr>
            <w:tcW w:w="4044" w:type="dxa"/>
            <w:gridSpan w:val="5"/>
            <w:tcBorders>
              <w:top w:val="single" w:sz="4" w:space="0" w:color="auto"/>
              <w:bottom w:val="single" w:sz="2" w:space="0" w:color="666666" w:themeColor="text1" w:themeTint="99"/>
              <w:right w:val="single" w:sz="4" w:space="0" w:color="auto"/>
            </w:tcBorders>
            <w:vAlign w:val="center"/>
            <w:hideMark/>
          </w:tcPr>
          <w:p w14:paraId="7766C193" w14:textId="77777777"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Median</w:t>
            </w:r>
          </w:p>
        </w:tc>
      </w:tr>
      <w:tr w:rsidR="00105924" w:rsidRPr="007D34FE" w14:paraId="053ECA9D" w14:textId="77777777" w:rsidTr="007D3C66">
        <w:trPr>
          <w:gridAfter w:val="1"/>
          <w:cnfStyle w:val="000000100000" w:firstRow="0" w:lastRow="0" w:firstColumn="0" w:lastColumn="0" w:oddVBand="0" w:evenVBand="0" w:oddHBand="1" w:evenHBand="0" w:firstRowFirstColumn="0" w:firstRowLastColumn="0" w:lastRowFirstColumn="0" w:lastRowLastColumn="0"/>
          <w:wAfter w:w="4"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vMerge/>
            <w:tcBorders>
              <w:left w:val="single" w:sz="4" w:space="0" w:color="auto"/>
            </w:tcBorders>
            <w:vAlign w:val="center"/>
            <w:hideMark/>
          </w:tcPr>
          <w:p w14:paraId="428B5D3B" w14:textId="77777777" w:rsidR="007D34FE" w:rsidRPr="007D34FE" w:rsidRDefault="007D34FE" w:rsidP="00105924">
            <w:pPr>
              <w:jc w:val="center"/>
              <w:rPr>
                <w:rFonts w:ascii="Times New Roman" w:eastAsia="Times New Roman" w:hAnsi="Times New Roman" w:cs="Times New Roman"/>
                <w:sz w:val="20"/>
                <w:szCs w:val="20"/>
              </w:rPr>
            </w:pPr>
          </w:p>
        </w:tc>
        <w:tc>
          <w:tcPr>
            <w:tcW w:w="1143" w:type="dxa"/>
            <w:vMerge w:val="restart"/>
            <w:vAlign w:val="center"/>
            <w:hideMark/>
          </w:tcPr>
          <w:p w14:paraId="778467E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7D34FE">
              <w:rPr>
                <w:rFonts w:ascii="Arial" w:eastAsia="Times New Roman" w:hAnsi="Arial" w:cs="Arial"/>
                <w:b/>
                <w:bCs/>
                <w:color w:val="993300"/>
              </w:rPr>
              <w:t>Estimate</w:t>
            </w:r>
          </w:p>
        </w:tc>
        <w:tc>
          <w:tcPr>
            <w:tcW w:w="950" w:type="dxa"/>
            <w:vMerge w:val="restart"/>
            <w:vAlign w:val="center"/>
            <w:hideMark/>
          </w:tcPr>
          <w:p w14:paraId="2D9360C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49" w:type="dxa"/>
            <w:gridSpan w:val="2"/>
            <w:tcBorders>
              <w:right w:val="single" w:sz="18" w:space="0" w:color="000000" w:themeColor="text1"/>
            </w:tcBorders>
            <w:vAlign w:val="center"/>
            <w:hideMark/>
          </w:tcPr>
          <w:p w14:paraId="09F4E4B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c>
          <w:tcPr>
            <w:tcW w:w="1143" w:type="dxa"/>
            <w:vMerge w:val="restart"/>
            <w:tcBorders>
              <w:left w:val="single" w:sz="18" w:space="0" w:color="000000" w:themeColor="text1"/>
            </w:tcBorders>
            <w:vAlign w:val="center"/>
            <w:hideMark/>
          </w:tcPr>
          <w:p w14:paraId="12F66D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Estimate</w:t>
            </w:r>
          </w:p>
        </w:tc>
        <w:tc>
          <w:tcPr>
            <w:tcW w:w="950" w:type="dxa"/>
            <w:vMerge w:val="restart"/>
            <w:vAlign w:val="center"/>
            <w:hideMark/>
          </w:tcPr>
          <w:p w14:paraId="12C6985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49" w:type="dxa"/>
            <w:gridSpan w:val="2"/>
            <w:tcBorders>
              <w:right w:val="single" w:sz="4" w:space="0" w:color="auto"/>
            </w:tcBorders>
            <w:vAlign w:val="center"/>
            <w:hideMark/>
          </w:tcPr>
          <w:p w14:paraId="67CED7E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r>
      <w:tr w:rsidR="00105924" w:rsidRPr="007D34FE" w14:paraId="1A7BFE2D" w14:textId="77777777" w:rsidTr="007D3C66">
        <w:trPr>
          <w:gridAfter w:val="1"/>
          <w:wAfter w:w="6" w:type="dxa"/>
          <w:trHeight w:val="450"/>
          <w:jc w:val="center"/>
        </w:trPr>
        <w:tc>
          <w:tcPr>
            <w:cnfStyle w:val="001000000000" w:firstRow="0" w:lastRow="0" w:firstColumn="1" w:lastColumn="0" w:oddVBand="0" w:evenVBand="0" w:oddHBand="0" w:evenHBand="0" w:firstRowFirstColumn="0" w:firstRowLastColumn="0" w:lastRowFirstColumn="0" w:lastRowLastColumn="0"/>
            <w:tcW w:w="1764" w:type="dxa"/>
            <w:vMerge/>
            <w:tcBorders>
              <w:left w:val="single" w:sz="4" w:space="0" w:color="auto"/>
              <w:bottom w:val="single" w:sz="18" w:space="0" w:color="000000" w:themeColor="text1"/>
            </w:tcBorders>
            <w:vAlign w:val="center"/>
            <w:hideMark/>
          </w:tcPr>
          <w:p w14:paraId="54EF93E5" w14:textId="77777777" w:rsidR="007D34FE" w:rsidRPr="007D34FE" w:rsidRDefault="007D34FE" w:rsidP="00105924">
            <w:pPr>
              <w:jc w:val="center"/>
              <w:rPr>
                <w:rFonts w:ascii="Times New Roman" w:eastAsia="Times New Roman" w:hAnsi="Times New Roman" w:cs="Times New Roman"/>
                <w:sz w:val="20"/>
                <w:szCs w:val="20"/>
              </w:rPr>
            </w:pPr>
          </w:p>
        </w:tc>
        <w:tc>
          <w:tcPr>
            <w:tcW w:w="1143" w:type="dxa"/>
            <w:vMerge/>
            <w:tcBorders>
              <w:bottom w:val="single" w:sz="18" w:space="0" w:color="000000" w:themeColor="text1"/>
            </w:tcBorders>
            <w:vAlign w:val="center"/>
            <w:hideMark/>
          </w:tcPr>
          <w:p w14:paraId="06098E2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p>
        </w:tc>
        <w:tc>
          <w:tcPr>
            <w:tcW w:w="950" w:type="dxa"/>
            <w:vMerge/>
            <w:tcBorders>
              <w:bottom w:val="single" w:sz="18" w:space="0" w:color="000000" w:themeColor="text1"/>
            </w:tcBorders>
            <w:vAlign w:val="center"/>
            <w:hideMark/>
          </w:tcPr>
          <w:p w14:paraId="379E954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74" w:type="dxa"/>
            <w:tcBorders>
              <w:bottom w:val="single" w:sz="18" w:space="0" w:color="000000" w:themeColor="text1"/>
            </w:tcBorders>
            <w:vAlign w:val="center"/>
            <w:hideMark/>
          </w:tcPr>
          <w:p w14:paraId="59D29A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74" w:type="dxa"/>
            <w:tcBorders>
              <w:bottom w:val="single" w:sz="18" w:space="0" w:color="000000" w:themeColor="text1"/>
              <w:right w:val="single" w:sz="18" w:space="0" w:color="000000" w:themeColor="text1"/>
            </w:tcBorders>
            <w:vAlign w:val="center"/>
            <w:hideMark/>
          </w:tcPr>
          <w:p w14:paraId="7F8B0B3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c>
          <w:tcPr>
            <w:tcW w:w="1143" w:type="dxa"/>
            <w:vMerge/>
            <w:tcBorders>
              <w:left w:val="single" w:sz="18" w:space="0" w:color="000000" w:themeColor="text1"/>
              <w:bottom w:val="single" w:sz="18" w:space="0" w:color="000000" w:themeColor="text1"/>
            </w:tcBorders>
            <w:vAlign w:val="center"/>
            <w:hideMark/>
          </w:tcPr>
          <w:p w14:paraId="143A000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50" w:type="dxa"/>
            <w:vMerge/>
            <w:tcBorders>
              <w:bottom w:val="single" w:sz="18" w:space="0" w:color="000000" w:themeColor="text1"/>
            </w:tcBorders>
            <w:vAlign w:val="center"/>
            <w:hideMark/>
          </w:tcPr>
          <w:p w14:paraId="10206F5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74" w:type="dxa"/>
            <w:tcBorders>
              <w:bottom w:val="single" w:sz="18" w:space="0" w:color="000000" w:themeColor="text1"/>
            </w:tcBorders>
            <w:vAlign w:val="center"/>
            <w:hideMark/>
          </w:tcPr>
          <w:p w14:paraId="475CA2D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74" w:type="dxa"/>
            <w:tcBorders>
              <w:bottom w:val="single" w:sz="18" w:space="0" w:color="000000" w:themeColor="text1"/>
              <w:right w:val="single" w:sz="4" w:space="0" w:color="auto"/>
            </w:tcBorders>
            <w:vAlign w:val="center"/>
            <w:hideMark/>
          </w:tcPr>
          <w:p w14:paraId="47E0E9F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r>
      <w:tr w:rsidR="007D3C66" w:rsidRPr="007D34FE" w14:paraId="3AEA14DE"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18"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21D2B13B" w14:textId="17C15D85"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COL4A3BP-Norm</w:t>
            </w:r>
            <w:r w:rsidR="00CB47A5">
              <w:rPr>
                <w:rFonts w:ascii="Arial" w:eastAsia="Times New Roman" w:hAnsi="Arial" w:cs="Arial"/>
                <w:color w:val="000000"/>
                <w:sz w:val="18"/>
                <w:szCs w:val="18"/>
              </w:rPr>
              <w:t>**</w:t>
            </w:r>
          </w:p>
        </w:tc>
        <w:tc>
          <w:tcPr>
            <w:tcW w:w="1143"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AE5F6B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1514.131</w:t>
            </w:r>
          </w:p>
        </w:tc>
        <w:tc>
          <w:tcPr>
            <w:tcW w:w="95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33642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105.792</w:t>
            </w:r>
          </w:p>
        </w:tc>
        <w:tc>
          <w:tcPr>
            <w:tcW w:w="974"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39518E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1306.779</w:t>
            </w:r>
          </w:p>
        </w:tc>
        <w:tc>
          <w:tcPr>
            <w:tcW w:w="974"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9E83E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1721.484</w:t>
            </w:r>
          </w:p>
        </w:tc>
        <w:tc>
          <w:tcPr>
            <w:tcW w:w="1143" w:type="dxa"/>
            <w:tcBorders>
              <w:top w:val="single" w:sz="18"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0DB217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1384.000</w:t>
            </w:r>
          </w:p>
        </w:tc>
        <w:tc>
          <w:tcPr>
            <w:tcW w:w="95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43F5E4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53.393</w:t>
            </w:r>
          </w:p>
        </w:tc>
        <w:tc>
          <w:tcPr>
            <w:tcW w:w="974"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E0FED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1279.351</w:t>
            </w:r>
          </w:p>
        </w:tc>
        <w:tc>
          <w:tcPr>
            <w:tcW w:w="974"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41669E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1488.649</w:t>
            </w:r>
          </w:p>
        </w:tc>
      </w:tr>
      <w:tr w:rsidR="007D3C66" w:rsidRPr="007D34FE" w14:paraId="7D0A00F4"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412F60D7"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COL4A3BP-Del</w:t>
            </w:r>
          </w:p>
        </w:tc>
        <w:tc>
          <w:tcPr>
            <w:tcW w:w="1143"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1A2E9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1733.717</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71F5106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102.339</w:t>
            </w:r>
          </w:p>
        </w:tc>
        <w:tc>
          <w:tcPr>
            <w:tcW w:w="97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183EB9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1533.132</w:t>
            </w:r>
          </w:p>
        </w:tc>
        <w:tc>
          <w:tcPr>
            <w:tcW w:w="974"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CF17FC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1934.302</w:t>
            </w:r>
          </w:p>
        </w:tc>
        <w:tc>
          <w:tcPr>
            <w:tcW w:w="1143"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77BFEE8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1336.000</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192E86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74.888</w:t>
            </w:r>
          </w:p>
        </w:tc>
        <w:tc>
          <w:tcPr>
            <w:tcW w:w="97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8F798D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1189.219</w:t>
            </w:r>
          </w:p>
        </w:tc>
        <w:tc>
          <w:tcPr>
            <w:tcW w:w="974"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3DAEFC1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1482.781</w:t>
            </w:r>
          </w:p>
        </w:tc>
      </w:tr>
      <w:tr w:rsidR="007D3C66" w:rsidRPr="007D34FE" w14:paraId="176B5C49"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03D3817D" w14:textId="672467DE"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COL4A3BP-Dup</w:t>
            </w:r>
            <w:r w:rsidR="00CB47A5">
              <w:rPr>
                <w:rFonts w:ascii="Arial" w:eastAsia="Times New Roman" w:hAnsi="Arial" w:cs="Arial"/>
                <w:color w:val="000000"/>
                <w:sz w:val="18"/>
                <w:szCs w:val="18"/>
              </w:rPr>
              <w:t>**</w:t>
            </w:r>
          </w:p>
        </w:tc>
        <w:tc>
          <w:tcPr>
            <w:tcW w:w="1143"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41B3A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857.090</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3ABB2A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180.283</w:t>
            </w:r>
          </w:p>
        </w:tc>
        <w:tc>
          <w:tcPr>
            <w:tcW w:w="97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CF06A08"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503.736</w:t>
            </w:r>
          </w:p>
        </w:tc>
        <w:tc>
          <w:tcPr>
            <w:tcW w:w="974"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5E20A0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1210.445</w:t>
            </w:r>
          </w:p>
        </w:tc>
        <w:tc>
          <w:tcPr>
            <w:tcW w:w="1143"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24C5C7E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457.000</w:t>
            </w:r>
          </w:p>
        </w:tc>
        <w:tc>
          <w:tcPr>
            <w:tcW w:w="95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2537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604.318</w:t>
            </w:r>
          </w:p>
        </w:tc>
        <w:tc>
          <w:tcPr>
            <w:tcW w:w="97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9BE3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0.000</w:t>
            </w:r>
          </w:p>
        </w:tc>
        <w:tc>
          <w:tcPr>
            <w:tcW w:w="974"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F22718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1641.463</w:t>
            </w:r>
          </w:p>
        </w:tc>
      </w:tr>
      <w:tr w:rsidR="007D3C66" w:rsidRPr="007D34FE" w14:paraId="11A31805"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000000" w:themeColor="text1"/>
              <w:left w:val="single" w:sz="18" w:space="0" w:color="000000" w:themeColor="text1"/>
              <w:bottom w:val="single" w:sz="18" w:space="0" w:color="000000" w:themeColor="text1"/>
              <w:right w:val="single" w:sz="6" w:space="0" w:color="000000" w:themeColor="text1"/>
            </w:tcBorders>
            <w:vAlign w:val="center"/>
            <w:hideMark/>
          </w:tcPr>
          <w:p w14:paraId="0CC00E33"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 Overall</w:t>
            </w:r>
          </w:p>
        </w:tc>
        <w:tc>
          <w:tcPr>
            <w:tcW w:w="1143"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EED7E6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5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81771B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74"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6723EB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74"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17DCC60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43" w:type="dxa"/>
            <w:tcBorders>
              <w:top w:val="single" w:sz="6" w:space="0" w:color="000000" w:themeColor="text1"/>
              <w:left w:val="single" w:sz="18" w:space="0" w:color="000000" w:themeColor="text1"/>
              <w:bottom w:val="single" w:sz="18" w:space="0" w:color="000000" w:themeColor="text1"/>
              <w:right w:val="single" w:sz="6" w:space="0" w:color="000000" w:themeColor="text1"/>
            </w:tcBorders>
            <w:noWrap/>
            <w:vAlign w:val="center"/>
            <w:hideMark/>
          </w:tcPr>
          <w:p w14:paraId="0BA5C26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5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11FA44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74"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65EF620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74"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2B91C0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7D3C66" w:rsidRPr="007D34FE" w14:paraId="32358B32"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18" w:space="0" w:color="000000" w:themeColor="text1"/>
              <w:left w:val="single" w:sz="18" w:space="0" w:color="auto"/>
              <w:bottom w:val="single" w:sz="6" w:space="0" w:color="auto"/>
              <w:right w:val="single" w:sz="6" w:space="0" w:color="auto"/>
            </w:tcBorders>
            <w:vAlign w:val="center"/>
            <w:hideMark/>
          </w:tcPr>
          <w:p w14:paraId="38DD3C14" w14:textId="4808E30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COL12A1-Norm</w:t>
            </w:r>
            <w:r w:rsidR="00CB47A5">
              <w:rPr>
                <w:rFonts w:ascii="Arial" w:eastAsia="Times New Roman" w:hAnsi="Arial" w:cs="Arial"/>
                <w:color w:val="000000"/>
                <w:sz w:val="18"/>
                <w:szCs w:val="18"/>
              </w:rPr>
              <w:t>**</w:t>
            </w:r>
          </w:p>
        </w:tc>
        <w:tc>
          <w:tcPr>
            <w:tcW w:w="1143" w:type="dxa"/>
            <w:tcBorders>
              <w:top w:val="single" w:sz="18" w:space="0" w:color="000000" w:themeColor="text1"/>
              <w:left w:val="single" w:sz="6" w:space="0" w:color="auto"/>
              <w:bottom w:val="single" w:sz="6" w:space="0" w:color="auto"/>
              <w:right w:val="single" w:sz="6" w:space="0" w:color="auto"/>
            </w:tcBorders>
            <w:noWrap/>
            <w:vAlign w:val="center"/>
            <w:hideMark/>
          </w:tcPr>
          <w:p w14:paraId="1A5690F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1724.716</w:t>
            </w:r>
          </w:p>
        </w:tc>
        <w:tc>
          <w:tcPr>
            <w:tcW w:w="950" w:type="dxa"/>
            <w:tcBorders>
              <w:top w:val="single" w:sz="18" w:space="0" w:color="000000" w:themeColor="text1"/>
              <w:left w:val="single" w:sz="6" w:space="0" w:color="auto"/>
              <w:bottom w:val="single" w:sz="6" w:space="0" w:color="auto"/>
              <w:right w:val="single" w:sz="6" w:space="0" w:color="auto"/>
            </w:tcBorders>
            <w:noWrap/>
            <w:vAlign w:val="center"/>
            <w:hideMark/>
          </w:tcPr>
          <w:p w14:paraId="0603914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141.697</w:t>
            </w:r>
          </w:p>
        </w:tc>
        <w:tc>
          <w:tcPr>
            <w:tcW w:w="974" w:type="dxa"/>
            <w:tcBorders>
              <w:top w:val="single" w:sz="18" w:space="0" w:color="000000" w:themeColor="text1"/>
              <w:left w:val="single" w:sz="6" w:space="0" w:color="auto"/>
              <w:bottom w:val="single" w:sz="6" w:space="0" w:color="auto"/>
              <w:right w:val="single" w:sz="6" w:space="0" w:color="auto"/>
            </w:tcBorders>
            <w:noWrap/>
            <w:vAlign w:val="center"/>
            <w:hideMark/>
          </w:tcPr>
          <w:p w14:paraId="51E8D9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1446.990</w:t>
            </w:r>
          </w:p>
        </w:tc>
        <w:tc>
          <w:tcPr>
            <w:tcW w:w="974" w:type="dxa"/>
            <w:tcBorders>
              <w:top w:val="single" w:sz="18" w:space="0" w:color="000000" w:themeColor="text1"/>
              <w:left w:val="single" w:sz="6" w:space="0" w:color="auto"/>
              <w:bottom w:val="single" w:sz="6" w:space="0" w:color="auto"/>
              <w:right w:val="single" w:sz="18" w:space="0" w:color="000000" w:themeColor="text1"/>
            </w:tcBorders>
            <w:noWrap/>
            <w:vAlign w:val="center"/>
            <w:hideMark/>
          </w:tcPr>
          <w:p w14:paraId="6CEC46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2002.442</w:t>
            </w:r>
          </w:p>
        </w:tc>
        <w:tc>
          <w:tcPr>
            <w:tcW w:w="1143" w:type="dxa"/>
            <w:tcBorders>
              <w:top w:val="single" w:sz="18" w:space="0" w:color="000000" w:themeColor="text1"/>
              <w:left w:val="single" w:sz="18" w:space="0" w:color="000000" w:themeColor="text1"/>
              <w:bottom w:val="single" w:sz="6" w:space="0" w:color="auto"/>
              <w:right w:val="single" w:sz="6" w:space="0" w:color="auto"/>
            </w:tcBorders>
            <w:noWrap/>
            <w:vAlign w:val="center"/>
            <w:hideMark/>
          </w:tcPr>
          <w:p w14:paraId="3F5CA87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1448.000</w:t>
            </w:r>
          </w:p>
        </w:tc>
        <w:tc>
          <w:tcPr>
            <w:tcW w:w="950" w:type="dxa"/>
            <w:tcBorders>
              <w:top w:val="single" w:sz="18" w:space="0" w:color="000000" w:themeColor="text1"/>
              <w:left w:val="single" w:sz="6" w:space="0" w:color="auto"/>
              <w:bottom w:val="single" w:sz="6" w:space="0" w:color="auto"/>
              <w:right w:val="single" w:sz="6" w:space="0" w:color="auto"/>
            </w:tcBorders>
            <w:noWrap/>
            <w:vAlign w:val="center"/>
            <w:hideMark/>
          </w:tcPr>
          <w:p w14:paraId="60B8555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90.526</w:t>
            </w:r>
          </w:p>
        </w:tc>
        <w:tc>
          <w:tcPr>
            <w:tcW w:w="974" w:type="dxa"/>
            <w:tcBorders>
              <w:top w:val="single" w:sz="18" w:space="0" w:color="000000" w:themeColor="text1"/>
              <w:left w:val="single" w:sz="6" w:space="0" w:color="auto"/>
              <w:bottom w:val="single" w:sz="6" w:space="0" w:color="auto"/>
              <w:right w:val="single" w:sz="6" w:space="0" w:color="auto"/>
            </w:tcBorders>
            <w:noWrap/>
            <w:vAlign w:val="center"/>
            <w:hideMark/>
          </w:tcPr>
          <w:p w14:paraId="1AADEE1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1270.569</w:t>
            </w:r>
          </w:p>
        </w:tc>
        <w:tc>
          <w:tcPr>
            <w:tcW w:w="974" w:type="dxa"/>
            <w:tcBorders>
              <w:top w:val="single" w:sz="18" w:space="0" w:color="000000" w:themeColor="text1"/>
              <w:left w:val="single" w:sz="6" w:space="0" w:color="auto"/>
              <w:bottom w:val="single" w:sz="6" w:space="0" w:color="auto"/>
              <w:right w:val="single" w:sz="18" w:space="0" w:color="auto"/>
            </w:tcBorders>
            <w:noWrap/>
            <w:vAlign w:val="center"/>
            <w:hideMark/>
          </w:tcPr>
          <w:p w14:paraId="1D932D1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1625.431</w:t>
            </w:r>
          </w:p>
        </w:tc>
      </w:tr>
      <w:tr w:rsidR="007D3C66" w:rsidRPr="007D34FE" w14:paraId="7FCF471A"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6" w:space="0" w:color="auto"/>
              <w:right w:val="single" w:sz="6" w:space="0" w:color="auto"/>
            </w:tcBorders>
            <w:vAlign w:val="center"/>
            <w:hideMark/>
          </w:tcPr>
          <w:p w14:paraId="4B29CDB6"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COL12A1-Del</w:t>
            </w:r>
          </w:p>
        </w:tc>
        <w:tc>
          <w:tcPr>
            <w:tcW w:w="1143" w:type="dxa"/>
            <w:tcBorders>
              <w:top w:val="single" w:sz="6" w:space="0" w:color="auto"/>
              <w:left w:val="single" w:sz="6" w:space="0" w:color="auto"/>
              <w:bottom w:val="single" w:sz="6" w:space="0" w:color="auto"/>
              <w:right w:val="single" w:sz="6" w:space="0" w:color="auto"/>
            </w:tcBorders>
            <w:noWrap/>
            <w:vAlign w:val="center"/>
            <w:hideMark/>
          </w:tcPr>
          <w:p w14:paraId="1DC5A3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1392.603</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420DCF3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77.250</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26D35D7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1241.193</w:t>
            </w:r>
          </w:p>
        </w:tc>
        <w:tc>
          <w:tcPr>
            <w:tcW w:w="974" w:type="dxa"/>
            <w:tcBorders>
              <w:top w:val="single" w:sz="6" w:space="0" w:color="auto"/>
              <w:left w:val="single" w:sz="6" w:space="0" w:color="auto"/>
              <w:bottom w:val="single" w:sz="6" w:space="0" w:color="auto"/>
              <w:right w:val="single" w:sz="18" w:space="0" w:color="000000" w:themeColor="text1"/>
            </w:tcBorders>
            <w:noWrap/>
            <w:vAlign w:val="center"/>
            <w:hideMark/>
          </w:tcPr>
          <w:p w14:paraId="15B5EBC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1544.013</w:t>
            </w:r>
          </w:p>
        </w:tc>
        <w:tc>
          <w:tcPr>
            <w:tcW w:w="1143" w:type="dxa"/>
            <w:tcBorders>
              <w:top w:val="single" w:sz="6" w:space="0" w:color="auto"/>
              <w:left w:val="single" w:sz="18" w:space="0" w:color="000000" w:themeColor="text1"/>
              <w:bottom w:val="single" w:sz="6" w:space="0" w:color="auto"/>
              <w:right w:val="single" w:sz="6" w:space="0" w:color="auto"/>
            </w:tcBorders>
            <w:noWrap/>
            <w:vAlign w:val="center"/>
            <w:hideMark/>
          </w:tcPr>
          <w:p w14:paraId="7F22548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1259.000</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6311C43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95.189</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3BA05D19"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1072.429</w:t>
            </w:r>
          </w:p>
        </w:tc>
        <w:tc>
          <w:tcPr>
            <w:tcW w:w="974" w:type="dxa"/>
            <w:tcBorders>
              <w:top w:val="single" w:sz="6" w:space="0" w:color="auto"/>
              <w:left w:val="single" w:sz="6" w:space="0" w:color="auto"/>
              <w:bottom w:val="single" w:sz="6" w:space="0" w:color="auto"/>
              <w:right w:val="single" w:sz="18" w:space="0" w:color="auto"/>
            </w:tcBorders>
            <w:noWrap/>
            <w:vAlign w:val="center"/>
            <w:hideMark/>
          </w:tcPr>
          <w:p w14:paraId="122064F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1445.571</w:t>
            </w:r>
          </w:p>
        </w:tc>
      </w:tr>
      <w:tr w:rsidR="007D3C66" w:rsidRPr="007D34FE" w14:paraId="30E92045"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6" w:space="0" w:color="auto"/>
              <w:right w:val="single" w:sz="6" w:space="0" w:color="auto"/>
            </w:tcBorders>
            <w:vAlign w:val="center"/>
            <w:hideMark/>
          </w:tcPr>
          <w:p w14:paraId="4DE7A0B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COL12A1-Dup</w:t>
            </w:r>
          </w:p>
        </w:tc>
        <w:tc>
          <w:tcPr>
            <w:tcW w:w="1143" w:type="dxa"/>
            <w:tcBorders>
              <w:top w:val="single" w:sz="6" w:space="0" w:color="auto"/>
              <w:left w:val="single" w:sz="6" w:space="0" w:color="auto"/>
              <w:bottom w:val="single" w:sz="6" w:space="0" w:color="auto"/>
              <w:right w:val="single" w:sz="6" w:space="0" w:color="auto"/>
            </w:tcBorders>
            <w:noWrap/>
            <w:vAlign w:val="center"/>
            <w:hideMark/>
          </w:tcPr>
          <w:p w14:paraId="4A0C5DA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1921.353</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577272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189.715</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5C95776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1549.512</w:t>
            </w:r>
          </w:p>
        </w:tc>
        <w:tc>
          <w:tcPr>
            <w:tcW w:w="974" w:type="dxa"/>
            <w:tcBorders>
              <w:top w:val="single" w:sz="6" w:space="0" w:color="auto"/>
              <w:left w:val="single" w:sz="6" w:space="0" w:color="auto"/>
              <w:bottom w:val="single" w:sz="6" w:space="0" w:color="auto"/>
              <w:right w:val="single" w:sz="18" w:space="0" w:color="000000" w:themeColor="text1"/>
            </w:tcBorders>
            <w:noWrap/>
            <w:vAlign w:val="center"/>
            <w:hideMark/>
          </w:tcPr>
          <w:p w14:paraId="6D13BF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2293.194</w:t>
            </w:r>
          </w:p>
        </w:tc>
        <w:tc>
          <w:tcPr>
            <w:tcW w:w="1143" w:type="dxa"/>
            <w:tcBorders>
              <w:top w:val="single" w:sz="6" w:space="0" w:color="auto"/>
              <w:left w:val="single" w:sz="18" w:space="0" w:color="000000" w:themeColor="text1"/>
              <w:bottom w:val="single" w:sz="6" w:space="0" w:color="auto"/>
              <w:right w:val="single" w:sz="6" w:space="0" w:color="auto"/>
            </w:tcBorders>
            <w:noWrap/>
            <w:vAlign w:val="center"/>
            <w:hideMark/>
          </w:tcPr>
          <w:p w14:paraId="29946A5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1451.000</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3DC0CD7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184.249</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289664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1089.872</w:t>
            </w:r>
          </w:p>
        </w:tc>
        <w:tc>
          <w:tcPr>
            <w:tcW w:w="974" w:type="dxa"/>
            <w:tcBorders>
              <w:top w:val="single" w:sz="6" w:space="0" w:color="auto"/>
              <w:left w:val="single" w:sz="6" w:space="0" w:color="auto"/>
              <w:bottom w:val="single" w:sz="6" w:space="0" w:color="auto"/>
              <w:right w:val="single" w:sz="18" w:space="0" w:color="auto"/>
            </w:tcBorders>
            <w:noWrap/>
            <w:vAlign w:val="center"/>
            <w:hideMark/>
          </w:tcPr>
          <w:p w14:paraId="2C9D7DA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1812.128</w:t>
            </w:r>
          </w:p>
        </w:tc>
      </w:tr>
      <w:tr w:rsidR="007D3C66" w:rsidRPr="007D34FE" w14:paraId="0520F1A5"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18" w:space="0" w:color="auto"/>
              <w:right w:val="single" w:sz="6" w:space="0" w:color="auto"/>
            </w:tcBorders>
            <w:vAlign w:val="center"/>
            <w:hideMark/>
          </w:tcPr>
          <w:p w14:paraId="7A87B2EE"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 Overall</w:t>
            </w:r>
          </w:p>
        </w:tc>
        <w:tc>
          <w:tcPr>
            <w:tcW w:w="1143" w:type="dxa"/>
            <w:tcBorders>
              <w:top w:val="single" w:sz="6" w:space="0" w:color="auto"/>
              <w:left w:val="single" w:sz="6" w:space="0" w:color="auto"/>
              <w:bottom w:val="single" w:sz="18" w:space="0" w:color="auto"/>
              <w:right w:val="single" w:sz="6" w:space="0" w:color="auto"/>
            </w:tcBorders>
            <w:noWrap/>
            <w:vAlign w:val="center"/>
            <w:hideMark/>
          </w:tcPr>
          <w:p w14:paraId="42E859A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50" w:type="dxa"/>
            <w:tcBorders>
              <w:top w:val="single" w:sz="6" w:space="0" w:color="auto"/>
              <w:left w:val="single" w:sz="6" w:space="0" w:color="auto"/>
              <w:bottom w:val="single" w:sz="18" w:space="0" w:color="auto"/>
              <w:right w:val="single" w:sz="6" w:space="0" w:color="auto"/>
            </w:tcBorders>
            <w:noWrap/>
            <w:vAlign w:val="center"/>
            <w:hideMark/>
          </w:tcPr>
          <w:p w14:paraId="66C566E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74" w:type="dxa"/>
            <w:tcBorders>
              <w:top w:val="single" w:sz="6" w:space="0" w:color="auto"/>
              <w:left w:val="single" w:sz="6" w:space="0" w:color="auto"/>
              <w:bottom w:val="single" w:sz="18" w:space="0" w:color="auto"/>
              <w:right w:val="single" w:sz="6" w:space="0" w:color="auto"/>
            </w:tcBorders>
            <w:noWrap/>
            <w:vAlign w:val="center"/>
            <w:hideMark/>
          </w:tcPr>
          <w:p w14:paraId="3E09FEC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74" w:type="dxa"/>
            <w:tcBorders>
              <w:top w:val="single" w:sz="6" w:space="0" w:color="auto"/>
              <w:left w:val="single" w:sz="6" w:space="0" w:color="auto"/>
              <w:bottom w:val="single" w:sz="18" w:space="0" w:color="auto"/>
              <w:right w:val="single" w:sz="18" w:space="0" w:color="000000" w:themeColor="text1"/>
            </w:tcBorders>
            <w:noWrap/>
            <w:vAlign w:val="center"/>
            <w:hideMark/>
          </w:tcPr>
          <w:p w14:paraId="207F844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43" w:type="dxa"/>
            <w:tcBorders>
              <w:top w:val="single" w:sz="6" w:space="0" w:color="auto"/>
              <w:left w:val="single" w:sz="18" w:space="0" w:color="000000" w:themeColor="text1"/>
              <w:bottom w:val="single" w:sz="18" w:space="0" w:color="auto"/>
              <w:right w:val="single" w:sz="6" w:space="0" w:color="auto"/>
            </w:tcBorders>
            <w:noWrap/>
            <w:vAlign w:val="center"/>
            <w:hideMark/>
          </w:tcPr>
          <w:p w14:paraId="5702D19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50" w:type="dxa"/>
            <w:tcBorders>
              <w:top w:val="single" w:sz="6" w:space="0" w:color="auto"/>
              <w:left w:val="single" w:sz="6" w:space="0" w:color="auto"/>
              <w:bottom w:val="single" w:sz="18" w:space="0" w:color="auto"/>
              <w:right w:val="single" w:sz="6" w:space="0" w:color="auto"/>
            </w:tcBorders>
            <w:noWrap/>
            <w:vAlign w:val="center"/>
            <w:hideMark/>
          </w:tcPr>
          <w:p w14:paraId="22305FD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74" w:type="dxa"/>
            <w:tcBorders>
              <w:top w:val="single" w:sz="6" w:space="0" w:color="auto"/>
              <w:left w:val="single" w:sz="6" w:space="0" w:color="auto"/>
              <w:bottom w:val="single" w:sz="18" w:space="0" w:color="auto"/>
              <w:right w:val="single" w:sz="6" w:space="0" w:color="auto"/>
            </w:tcBorders>
            <w:noWrap/>
            <w:vAlign w:val="center"/>
            <w:hideMark/>
          </w:tcPr>
          <w:p w14:paraId="34DA3D0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74" w:type="dxa"/>
            <w:tcBorders>
              <w:top w:val="single" w:sz="6" w:space="0" w:color="auto"/>
              <w:left w:val="single" w:sz="6" w:space="0" w:color="auto"/>
              <w:bottom w:val="single" w:sz="18" w:space="0" w:color="auto"/>
              <w:right w:val="single" w:sz="18" w:space="0" w:color="auto"/>
            </w:tcBorders>
            <w:noWrap/>
            <w:vAlign w:val="center"/>
            <w:hideMark/>
          </w:tcPr>
          <w:p w14:paraId="3363578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7D3C66" w:rsidRPr="007D34FE" w14:paraId="23543204"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18" w:space="0" w:color="auto"/>
              <w:left w:val="single" w:sz="18" w:space="0" w:color="auto"/>
              <w:bottom w:val="single" w:sz="6" w:space="0" w:color="auto"/>
              <w:right w:val="single" w:sz="6" w:space="0" w:color="auto"/>
            </w:tcBorders>
            <w:vAlign w:val="center"/>
            <w:hideMark/>
          </w:tcPr>
          <w:p w14:paraId="5BE2EB21" w14:textId="1CCDB83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COL5A3-Norm</w:t>
            </w:r>
            <w:r w:rsidR="00CB47A5">
              <w:rPr>
                <w:rFonts w:ascii="Arial" w:eastAsia="Times New Roman" w:hAnsi="Arial" w:cs="Arial"/>
                <w:color w:val="000000"/>
                <w:sz w:val="18"/>
                <w:szCs w:val="18"/>
              </w:rPr>
              <w:t>**</w:t>
            </w:r>
          </w:p>
        </w:tc>
        <w:tc>
          <w:tcPr>
            <w:tcW w:w="1143" w:type="dxa"/>
            <w:tcBorders>
              <w:top w:val="single" w:sz="18" w:space="0" w:color="auto"/>
              <w:left w:val="single" w:sz="6" w:space="0" w:color="auto"/>
              <w:bottom w:val="single" w:sz="6" w:space="0" w:color="auto"/>
              <w:right w:val="single" w:sz="6" w:space="0" w:color="auto"/>
            </w:tcBorders>
            <w:noWrap/>
            <w:vAlign w:val="center"/>
            <w:hideMark/>
          </w:tcPr>
          <w:p w14:paraId="2B6346E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1550.938</w:t>
            </w:r>
          </w:p>
        </w:tc>
        <w:tc>
          <w:tcPr>
            <w:tcW w:w="950" w:type="dxa"/>
            <w:tcBorders>
              <w:top w:val="single" w:sz="18" w:space="0" w:color="auto"/>
              <w:left w:val="single" w:sz="6" w:space="0" w:color="auto"/>
              <w:bottom w:val="single" w:sz="6" w:space="0" w:color="auto"/>
              <w:right w:val="single" w:sz="6" w:space="0" w:color="auto"/>
            </w:tcBorders>
            <w:noWrap/>
            <w:vAlign w:val="center"/>
            <w:hideMark/>
          </w:tcPr>
          <w:p w14:paraId="1AA4C83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85.389</w:t>
            </w:r>
          </w:p>
        </w:tc>
        <w:tc>
          <w:tcPr>
            <w:tcW w:w="974" w:type="dxa"/>
            <w:tcBorders>
              <w:top w:val="single" w:sz="18" w:space="0" w:color="auto"/>
              <w:left w:val="single" w:sz="6" w:space="0" w:color="auto"/>
              <w:bottom w:val="single" w:sz="6" w:space="0" w:color="auto"/>
              <w:right w:val="single" w:sz="6" w:space="0" w:color="auto"/>
            </w:tcBorders>
            <w:noWrap/>
            <w:vAlign w:val="center"/>
            <w:hideMark/>
          </w:tcPr>
          <w:p w14:paraId="3EA0CE5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1383.576</w:t>
            </w:r>
          </w:p>
        </w:tc>
        <w:tc>
          <w:tcPr>
            <w:tcW w:w="974" w:type="dxa"/>
            <w:tcBorders>
              <w:top w:val="single" w:sz="18" w:space="0" w:color="auto"/>
              <w:left w:val="single" w:sz="6" w:space="0" w:color="auto"/>
              <w:bottom w:val="single" w:sz="6" w:space="0" w:color="auto"/>
              <w:right w:val="single" w:sz="18" w:space="0" w:color="000000" w:themeColor="text1"/>
            </w:tcBorders>
            <w:noWrap/>
            <w:vAlign w:val="center"/>
            <w:hideMark/>
          </w:tcPr>
          <w:p w14:paraId="3A182DC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1718.300</w:t>
            </w:r>
          </w:p>
        </w:tc>
        <w:tc>
          <w:tcPr>
            <w:tcW w:w="1143" w:type="dxa"/>
            <w:tcBorders>
              <w:top w:val="single" w:sz="18" w:space="0" w:color="auto"/>
              <w:left w:val="single" w:sz="18" w:space="0" w:color="000000" w:themeColor="text1"/>
              <w:bottom w:val="single" w:sz="6" w:space="0" w:color="auto"/>
              <w:right w:val="single" w:sz="6" w:space="0" w:color="auto"/>
            </w:tcBorders>
            <w:noWrap/>
            <w:vAlign w:val="center"/>
            <w:hideMark/>
          </w:tcPr>
          <w:p w14:paraId="4CA10D2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1516.000</w:t>
            </w:r>
          </w:p>
        </w:tc>
        <w:tc>
          <w:tcPr>
            <w:tcW w:w="950" w:type="dxa"/>
            <w:tcBorders>
              <w:top w:val="single" w:sz="18" w:space="0" w:color="auto"/>
              <w:left w:val="single" w:sz="6" w:space="0" w:color="auto"/>
              <w:bottom w:val="single" w:sz="6" w:space="0" w:color="auto"/>
              <w:right w:val="single" w:sz="6" w:space="0" w:color="auto"/>
            </w:tcBorders>
            <w:noWrap/>
            <w:vAlign w:val="center"/>
            <w:hideMark/>
          </w:tcPr>
          <w:p w14:paraId="59824D2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115.276</w:t>
            </w:r>
          </w:p>
        </w:tc>
        <w:tc>
          <w:tcPr>
            <w:tcW w:w="974" w:type="dxa"/>
            <w:tcBorders>
              <w:top w:val="single" w:sz="18" w:space="0" w:color="auto"/>
              <w:left w:val="single" w:sz="6" w:space="0" w:color="auto"/>
              <w:bottom w:val="single" w:sz="6" w:space="0" w:color="auto"/>
              <w:right w:val="single" w:sz="6" w:space="0" w:color="auto"/>
            </w:tcBorders>
            <w:noWrap/>
            <w:vAlign w:val="center"/>
            <w:hideMark/>
          </w:tcPr>
          <w:p w14:paraId="76D7F0D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1290.059</w:t>
            </w:r>
          </w:p>
        </w:tc>
        <w:tc>
          <w:tcPr>
            <w:tcW w:w="974" w:type="dxa"/>
            <w:tcBorders>
              <w:top w:val="single" w:sz="18" w:space="0" w:color="auto"/>
              <w:left w:val="single" w:sz="6" w:space="0" w:color="auto"/>
              <w:bottom w:val="single" w:sz="6" w:space="0" w:color="auto"/>
              <w:right w:val="single" w:sz="18" w:space="0" w:color="auto"/>
            </w:tcBorders>
            <w:noWrap/>
            <w:vAlign w:val="center"/>
            <w:hideMark/>
          </w:tcPr>
          <w:p w14:paraId="55406AF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1741.941</w:t>
            </w:r>
          </w:p>
        </w:tc>
      </w:tr>
      <w:tr w:rsidR="007D3C66" w:rsidRPr="007D34FE" w14:paraId="3EC25CE9"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6" w:space="0" w:color="auto"/>
              <w:right w:val="single" w:sz="6" w:space="0" w:color="auto"/>
            </w:tcBorders>
            <w:vAlign w:val="center"/>
            <w:hideMark/>
          </w:tcPr>
          <w:p w14:paraId="700F8457" w14:textId="7325B6DF"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COL5A3-Del</w:t>
            </w:r>
            <w:r w:rsidR="00CB47A5">
              <w:rPr>
                <w:rFonts w:ascii="Arial" w:eastAsia="Times New Roman" w:hAnsi="Arial" w:cs="Arial"/>
                <w:color w:val="000000"/>
                <w:sz w:val="18"/>
                <w:szCs w:val="18"/>
              </w:rPr>
              <w:t>**</w:t>
            </w:r>
          </w:p>
        </w:tc>
        <w:tc>
          <w:tcPr>
            <w:tcW w:w="1143" w:type="dxa"/>
            <w:tcBorders>
              <w:top w:val="single" w:sz="6" w:space="0" w:color="auto"/>
              <w:left w:val="single" w:sz="6" w:space="0" w:color="auto"/>
              <w:bottom w:val="single" w:sz="6" w:space="0" w:color="auto"/>
              <w:right w:val="single" w:sz="6" w:space="0" w:color="auto"/>
            </w:tcBorders>
            <w:noWrap/>
            <w:vAlign w:val="center"/>
            <w:hideMark/>
          </w:tcPr>
          <w:p w14:paraId="1E54E2F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1363.360</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3994AE3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88.693</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17ED726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1189.522</w:t>
            </w:r>
          </w:p>
        </w:tc>
        <w:tc>
          <w:tcPr>
            <w:tcW w:w="974" w:type="dxa"/>
            <w:tcBorders>
              <w:top w:val="single" w:sz="6" w:space="0" w:color="auto"/>
              <w:left w:val="single" w:sz="6" w:space="0" w:color="auto"/>
              <w:bottom w:val="single" w:sz="6" w:space="0" w:color="auto"/>
              <w:right w:val="single" w:sz="18" w:space="0" w:color="000000" w:themeColor="text1"/>
            </w:tcBorders>
            <w:noWrap/>
            <w:vAlign w:val="center"/>
            <w:hideMark/>
          </w:tcPr>
          <w:p w14:paraId="0B4B29F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1537.198</w:t>
            </w:r>
          </w:p>
        </w:tc>
        <w:tc>
          <w:tcPr>
            <w:tcW w:w="1143" w:type="dxa"/>
            <w:tcBorders>
              <w:top w:val="single" w:sz="6" w:space="0" w:color="auto"/>
              <w:left w:val="single" w:sz="18" w:space="0" w:color="000000" w:themeColor="text1"/>
              <w:bottom w:val="single" w:sz="6" w:space="0" w:color="auto"/>
              <w:right w:val="single" w:sz="6" w:space="0" w:color="auto"/>
            </w:tcBorders>
            <w:noWrap/>
            <w:vAlign w:val="center"/>
            <w:hideMark/>
          </w:tcPr>
          <w:p w14:paraId="5D94EFC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1102.000</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35C03881"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43.327</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2A448D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1017.078</w:t>
            </w:r>
          </w:p>
        </w:tc>
        <w:tc>
          <w:tcPr>
            <w:tcW w:w="974" w:type="dxa"/>
            <w:tcBorders>
              <w:top w:val="single" w:sz="6" w:space="0" w:color="auto"/>
              <w:left w:val="single" w:sz="6" w:space="0" w:color="auto"/>
              <w:bottom w:val="single" w:sz="6" w:space="0" w:color="auto"/>
              <w:right w:val="single" w:sz="18" w:space="0" w:color="auto"/>
            </w:tcBorders>
            <w:noWrap/>
            <w:vAlign w:val="center"/>
            <w:hideMark/>
          </w:tcPr>
          <w:p w14:paraId="22E4CE1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1186.922</w:t>
            </w:r>
          </w:p>
        </w:tc>
      </w:tr>
      <w:tr w:rsidR="007D3C66" w:rsidRPr="007D34FE" w14:paraId="2BC8167B" w14:textId="77777777" w:rsidTr="007D3C66">
        <w:trPr>
          <w:gridAfter w:val="1"/>
          <w:cnfStyle w:val="000000100000" w:firstRow="0" w:lastRow="0" w:firstColumn="0" w:lastColumn="0" w:oddVBand="0" w:evenVBand="0" w:oddHBand="1" w:evenHBand="0" w:firstRowFirstColumn="0" w:firstRowLastColumn="0" w:lastRowFirstColumn="0" w:lastRowLastColumn="0"/>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6" w:space="0" w:color="auto"/>
              <w:right w:val="single" w:sz="6" w:space="0" w:color="auto"/>
            </w:tcBorders>
            <w:vAlign w:val="center"/>
            <w:hideMark/>
          </w:tcPr>
          <w:p w14:paraId="41731E5A"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COL5A3-Dup</w:t>
            </w:r>
          </w:p>
        </w:tc>
        <w:tc>
          <w:tcPr>
            <w:tcW w:w="1143" w:type="dxa"/>
            <w:tcBorders>
              <w:top w:val="single" w:sz="6" w:space="0" w:color="auto"/>
              <w:left w:val="single" w:sz="6" w:space="0" w:color="auto"/>
              <w:bottom w:val="single" w:sz="6" w:space="0" w:color="auto"/>
              <w:right w:val="single" w:sz="6" w:space="0" w:color="auto"/>
            </w:tcBorders>
            <w:noWrap/>
            <w:vAlign w:val="center"/>
            <w:hideMark/>
          </w:tcPr>
          <w:p w14:paraId="7860360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1938.087</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1E0510B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157.527</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435E3D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1629.334</w:t>
            </w:r>
          </w:p>
        </w:tc>
        <w:tc>
          <w:tcPr>
            <w:tcW w:w="974" w:type="dxa"/>
            <w:tcBorders>
              <w:top w:val="single" w:sz="6" w:space="0" w:color="auto"/>
              <w:left w:val="single" w:sz="6" w:space="0" w:color="auto"/>
              <w:bottom w:val="single" w:sz="6" w:space="0" w:color="auto"/>
              <w:right w:val="single" w:sz="18" w:space="0" w:color="000000" w:themeColor="text1"/>
            </w:tcBorders>
            <w:noWrap/>
            <w:vAlign w:val="center"/>
            <w:hideMark/>
          </w:tcPr>
          <w:p w14:paraId="1158108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2246.840</w:t>
            </w:r>
          </w:p>
        </w:tc>
        <w:tc>
          <w:tcPr>
            <w:tcW w:w="1143" w:type="dxa"/>
            <w:tcBorders>
              <w:top w:val="single" w:sz="6" w:space="0" w:color="auto"/>
              <w:left w:val="single" w:sz="18" w:space="0" w:color="000000" w:themeColor="text1"/>
              <w:bottom w:val="single" w:sz="6" w:space="0" w:color="auto"/>
              <w:right w:val="single" w:sz="6" w:space="0" w:color="auto"/>
            </w:tcBorders>
            <w:noWrap/>
            <w:vAlign w:val="center"/>
            <w:hideMark/>
          </w:tcPr>
          <w:p w14:paraId="7A7E125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1446.000</w:t>
            </w:r>
          </w:p>
        </w:tc>
        <w:tc>
          <w:tcPr>
            <w:tcW w:w="950" w:type="dxa"/>
            <w:tcBorders>
              <w:top w:val="single" w:sz="6" w:space="0" w:color="auto"/>
              <w:left w:val="single" w:sz="6" w:space="0" w:color="auto"/>
              <w:bottom w:val="single" w:sz="6" w:space="0" w:color="auto"/>
              <w:right w:val="single" w:sz="6" w:space="0" w:color="auto"/>
            </w:tcBorders>
            <w:noWrap/>
            <w:vAlign w:val="center"/>
            <w:hideMark/>
          </w:tcPr>
          <w:p w14:paraId="51922F2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68.071</w:t>
            </w:r>
          </w:p>
        </w:tc>
        <w:tc>
          <w:tcPr>
            <w:tcW w:w="974" w:type="dxa"/>
            <w:tcBorders>
              <w:top w:val="single" w:sz="6" w:space="0" w:color="auto"/>
              <w:left w:val="single" w:sz="6" w:space="0" w:color="auto"/>
              <w:bottom w:val="single" w:sz="6" w:space="0" w:color="auto"/>
              <w:right w:val="single" w:sz="6" w:space="0" w:color="auto"/>
            </w:tcBorders>
            <w:noWrap/>
            <w:vAlign w:val="center"/>
            <w:hideMark/>
          </w:tcPr>
          <w:p w14:paraId="7028CB8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1312.581</w:t>
            </w:r>
          </w:p>
        </w:tc>
        <w:tc>
          <w:tcPr>
            <w:tcW w:w="974" w:type="dxa"/>
            <w:tcBorders>
              <w:top w:val="single" w:sz="6" w:space="0" w:color="auto"/>
              <w:left w:val="single" w:sz="6" w:space="0" w:color="auto"/>
              <w:bottom w:val="single" w:sz="6" w:space="0" w:color="auto"/>
              <w:right w:val="single" w:sz="18" w:space="0" w:color="auto"/>
            </w:tcBorders>
            <w:noWrap/>
            <w:vAlign w:val="center"/>
            <w:hideMark/>
          </w:tcPr>
          <w:p w14:paraId="6815EA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1579.419</w:t>
            </w:r>
          </w:p>
        </w:tc>
      </w:tr>
      <w:tr w:rsidR="007D3C66" w:rsidRPr="007D34FE" w14:paraId="19D798AF" w14:textId="77777777" w:rsidTr="007D3C66">
        <w:trPr>
          <w:gridAfter w:val="1"/>
          <w:wAfter w:w="6" w:type="dxa"/>
          <w:trHeight w:val="273"/>
          <w:jc w:val="center"/>
        </w:trPr>
        <w:tc>
          <w:tcPr>
            <w:cnfStyle w:val="001000000000" w:firstRow="0" w:lastRow="0" w:firstColumn="1" w:lastColumn="0" w:oddVBand="0" w:evenVBand="0" w:oddHBand="0" w:evenHBand="0" w:firstRowFirstColumn="0" w:firstRowLastColumn="0" w:lastRowFirstColumn="0" w:lastRowLastColumn="0"/>
            <w:tcW w:w="1764" w:type="dxa"/>
            <w:tcBorders>
              <w:top w:val="single" w:sz="6" w:space="0" w:color="auto"/>
              <w:left w:val="single" w:sz="18" w:space="0" w:color="auto"/>
              <w:bottom w:val="single" w:sz="18" w:space="0" w:color="auto"/>
              <w:right w:val="single" w:sz="6" w:space="0" w:color="auto"/>
            </w:tcBorders>
            <w:vAlign w:val="center"/>
            <w:hideMark/>
          </w:tcPr>
          <w:p w14:paraId="36132AE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 Overall</w:t>
            </w:r>
          </w:p>
        </w:tc>
        <w:tc>
          <w:tcPr>
            <w:tcW w:w="1143" w:type="dxa"/>
            <w:tcBorders>
              <w:top w:val="single" w:sz="6" w:space="0" w:color="auto"/>
              <w:left w:val="single" w:sz="6" w:space="0" w:color="auto"/>
              <w:bottom w:val="single" w:sz="18" w:space="0" w:color="auto"/>
              <w:right w:val="single" w:sz="6" w:space="0" w:color="auto"/>
            </w:tcBorders>
            <w:noWrap/>
            <w:vAlign w:val="center"/>
            <w:hideMark/>
          </w:tcPr>
          <w:p w14:paraId="1860A4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50" w:type="dxa"/>
            <w:tcBorders>
              <w:top w:val="single" w:sz="6" w:space="0" w:color="auto"/>
              <w:left w:val="single" w:sz="6" w:space="0" w:color="auto"/>
              <w:bottom w:val="single" w:sz="18" w:space="0" w:color="auto"/>
              <w:right w:val="single" w:sz="6" w:space="0" w:color="auto"/>
            </w:tcBorders>
            <w:noWrap/>
            <w:vAlign w:val="center"/>
            <w:hideMark/>
          </w:tcPr>
          <w:p w14:paraId="4E83386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74" w:type="dxa"/>
            <w:tcBorders>
              <w:top w:val="single" w:sz="6" w:space="0" w:color="auto"/>
              <w:left w:val="single" w:sz="6" w:space="0" w:color="auto"/>
              <w:bottom w:val="single" w:sz="18" w:space="0" w:color="auto"/>
              <w:right w:val="single" w:sz="6" w:space="0" w:color="auto"/>
            </w:tcBorders>
            <w:noWrap/>
            <w:vAlign w:val="center"/>
            <w:hideMark/>
          </w:tcPr>
          <w:p w14:paraId="1B18B16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74" w:type="dxa"/>
            <w:tcBorders>
              <w:top w:val="single" w:sz="6" w:space="0" w:color="auto"/>
              <w:left w:val="single" w:sz="6" w:space="0" w:color="auto"/>
              <w:bottom w:val="single" w:sz="18" w:space="0" w:color="auto"/>
              <w:right w:val="single" w:sz="18" w:space="0" w:color="000000" w:themeColor="text1"/>
            </w:tcBorders>
            <w:noWrap/>
            <w:vAlign w:val="center"/>
            <w:hideMark/>
          </w:tcPr>
          <w:p w14:paraId="1D5A5CF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43" w:type="dxa"/>
            <w:tcBorders>
              <w:top w:val="single" w:sz="6" w:space="0" w:color="auto"/>
              <w:left w:val="single" w:sz="18" w:space="0" w:color="000000" w:themeColor="text1"/>
              <w:bottom w:val="single" w:sz="18" w:space="0" w:color="auto"/>
              <w:right w:val="single" w:sz="6" w:space="0" w:color="auto"/>
            </w:tcBorders>
            <w:noWrap/>
            <w:vAlign w:val="center"/>
            <w:hideMark/>
          </w:tcPr>
          <w:p w14:paraId="2EAC369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50" w:type="dxa"/>
            <w:tcBorders>
              <w:top w:val="single" w:sz="6" w:space="0" w:color="auto"/>
              <w:left w:val="single" w:sz="6" w:space="0" w:color="auto"/>
              <w:bottom w:val="single" w:sz="18" w:space="0" w:color="auto"/>
              <w:right w:val="single" w:sz="6" w:space="0" w:color="auto"/>
            </w:tcBorders>
            <w:noWrap/>
            <w:vAlign w:val="center"/>
            <w:hideMark/>
          </w:tcPr>
          <w:p w14:paraId="1FB6D25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74" w:type="dxa"/>
            <w:tcBorders>
              <w:top w:val="single" w:sz="6" w:space="0" w:color="auto"/>
              <w:left w:val="single" w:sz="6" w:space="0" w:color="auto"/>
              <w:bottom w:val="single" w:sz="18" w:space="0" w:color="auto"/>
              <w:right w:val="single" w:sz="6" w:space="0" w:color="auto"/>
            </w:tcBorders>
            <w:noWrap/>
            <w:vAlign w:val="center"/>
            <w:hideMark/>
          </w:tcPr>
          <w:p w14:paraId="43B00FC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74" w:type="dxa"/>
            <w:tcBorders>
              <w:top w:val="single" w:sz="6" w:space="0" w:color="auto"/>
              <w:left w:val="single" w:sz="6" w:space="0" w:color="auto"/>
              <w:bottom w:val="single" w:sz="18" w:space="0" w:color="auto"/>
              <w:right w:val="single" w:sz="18" w:space="0" w:color="auto"/>
            </w:tcBorders>
            <w:noWrap/>
            <w:vAlign w:val="center"/>
            <w:hideMark/>
          </w:tcPr>
          <w:p w14:paraId="5459F34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bl>
    <w:p w14:paraId="17E7CAB5" w14:textId="2FFA2064" w:rsidR="00CB47A5" w:rsidRDefault="001930BE" w:rsidP="00CB47A5">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*Estimation limited to largest survival time if censored.</w:t>
      </w:r>
      <w:r w:rsidR="00CB47A5">
        <w:rPr>
          <w:rFonts w:ascii="Times New Roman" w:hAnsi="Times New Roman" w:cs="Times New Roman"/>
          <w:b/>
          <w:bCs/>
          <w:sz w:val="24"/>
          <w:szCs w:val="24"/>
        </w:rPr>
        <w:br/>
        <w:t>**Statistically significant</w:t>
      </w:r>
      <w:r w:rsidR="00CB47A5">
        <w:rPr>
          <w:rFonts w:ascii="Times New Roman" w:hAnsi="Times New Roman" w:cs="Times New Roman"/>
          <w:b/>
          <w:bCs/>
          <w:sz w:val="24"/>
          <w:szCs w:val="24"/>
        </w:rPr>
        <w:br/>
      </w:r>
    </w:p>
    <w:p w14:paraId="25F77754" w14:textId="56108697"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w:t>
      </w:r>
      <w:r w:rsidR="00A8531E">
        <w:rPr>
          <w:rFonts w:ascii="Times New Roman" w:hAnsi="Times New Roman" w:cs="Times New Roman"/>
          <w:sz w:val="24"/>
          <w:szCs w:val="24"/>
        </w:rPr>
        <w:t>5A3</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w:t>
      </w:r>
      <w:r w:rsidR="00943D0C">
        <w:rPr>
          <w:rFonts w:ascii="Times New Roman" w:hAnsi="Times New Roman" w:cs="Times New Roman"/>
          <w:sz w:val="24"/>
          <w:szCs w:val="24"/>
        </w:rPr>
        <w:t xml:space="preserve">mean </w:t>
      </w:r>
      <w:r>
        <w:rPr>
          <w:rFonts w:ascii="Times New Roman" w:hAnsi="Times New Roman" w:cs="Times New Roman"/>
          <w:sz w:val="24"/>
          <w:szCs w:val="24"/>
        </w:rPr>
        <w:t>limits of confidence intervals</w:t>
      </w:r>
      <w:r w:rsidR="00CB47A5">
        <w:rPr>
          <w:rFonts w:ascii="Times New Roman" w:hAnsi="Times New Roman" w:cs="Times New Roman"/>
          <w:sz w:val="24"/>
          <w:szCs w:val="24"/>
        </w:rPr>
        <w:t xml:space="preserve"> between normal and deletion</w:t>
      </w:r>
      <w:r>
        <w:rPr>
          <w:rFonts w:ascii="Times New Roman" w:hAnsi="Times New Roman" w:cs="Times New Roman"/>
          <w:sz w:val="24"/>
          <w:szCs w:val="24"/>
        </w:rPr>
        <w:t>.</w:t>
      </w:r>
      <w:r w:rsidR="00A8531E">
        <w:rPr>
          <w:rFonts w:ascii="Times New Roman" w:hAnsi="Times New Roman" w:cs="Times New Roman"/>
          <w:sz w:val="24"/>
          <w:szCs w:val="24"/>
        </w:rPr>
        <w:t xml:space="preserve">  There are other overlaps, however, only statistically significant stratifications are mentioned.</w:t>
      </w:r>
    </w:p>
    <w:p w14:paraId="14E07AC8" w14:textId="663A6763" w:rsid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w:t>
      </w:r>
      <w:r w:rsidR="00A8531E">
        <w:rPr>
          <w:rFonts w:ascii="Times New Roman" w:hAnsi="Times New Roman" w:cs="Times New Roman"/>
          <w:sz w:val="24"/>
          <w:szCs w:val="24"/>
        </w:rPr>
        <w:t>does not have a</w:t>
      </w:r>
      <w:r w:rsidR="00943D0C">
        <w:rPr>
          <w:rFonts w:ascii="Times New Roman" w:hAnsi="Times New Roman" w:cs="Times New Roman"/>
          <w:sz w:val="24"/>
          <w:szCs w:val="24"/>
        </w:rPr>
        <w:t xml:space="preserve"> mean</w:t>
      </w:r>
      <w:r w:rsidR="00A8531E">
        <w:rPr>
          <w:rFonts w:ascii="Times New Roman" w:hAnsi="Times New Roman" w:cs="Times New Roman"/>
          <w:sz w:val="24"/>
          <w:szCs w:val="24"/>
        </w:rPr>
        <w:t xml:space="preserve"> overlap in confidence intervals between normal and duplication, which are also statistically significant.</w:t>
      </w:r>
    </w:p>
    <w:p w14:paraId="699D2A76" w14:textId="4F13F6F2" w:rsidR="005E3FEF" w:rsidRDefault="005E3FE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11 illustrates the mean survival time</w:t>
      </w:r>
      <w:r w:rsidR="009322F8">
        <w:rPr>
          <w:rFonts w:ascii="Times New Roman" w:hAnsi="Times New Roman" w:cs="Times New Roman"/>
          <w:sz w:val="24"/>
          <w:szCs w:val="24"/>
        </w:rPr>
        <w:t>,</w:t>
      </w:r>
      <w:r>
        <w:rPr>
          <w:rFonts w:ascii="Times New Roman" w:hAnsi="Times New Roman" w:cs="Times New Roman"/>
          <w:sz w:val="24"/>
          <w:szCs w:val="24"/>
        </w:rPr>
        <w:t xml:space="preserve"> measured in days</w:t>
      </w:r>
      <w:r w:rsidR="009322F8">
        <w:rPr>
          <w:rFonts w:ascii="Times New Roman" w:hAnsi="Times New Roman" w:cs="Times New Roman"/>
          <w:sz w:val="24"/>
          <w:szCs w:val="24"/>
        </w:rPr>
        <w:t>,</w:t>
      </w:r>
      <w:r>
        <w:rPr>
          <w:rFonts w:ascii="Times New Roman" w:hAnsi="Times New Roman" w:cs="Times New Roman"/>
          <w:sz w:val="24"/>
          <w:szCs w:val="24"/>
        </w:rPr>
        <w:t xml:space="preserve"> for each stratification.</w:t>
      </w:r>
      <w:r w:rsidR="003E276F">
        <w:rPr>
          <w:rFonts w:ascii="Times New Roman" w:hAnsi="Times New Roman" w:cs="Times New Roman"/>
          <w:sz w:val="24"/>
          <w:szCs w:val="24"/>
        </w:rPr>
        <w:t xml:space="preserve">  Markers colored in red indicate the statistically significant results while the vertical line at 1,657 indicates the overall mean survival for each stratified group as a baseline.</w:t>
      </w:r>
    </w:p>
    <w:p w14:paraId="3DADA06A" w14:textId="4316BCF3" w:rsidR="005E3FEF" w:rsidRDefault="005E3FEF" w:rsidP="00FF5BF6">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5B9F8D" wp14:editId="7A68AA33">
            <wp:extent cx="5924550" cy="3543324"/>
            <wp:effectExtent l="19050" t="19050" r="19050" b="1905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52553" cy="3560072"/>
                    </a:xfrm>
                    <a:prstGeom prst="rect">
                      <a:avLst/>
                    </a:prstGeom>
                    <a:ln>
                      <a:solidFill>
                        <a:schemeClr val="tx1"/>
                      </a:solidFill>
                    </a:ln>
                  </pic:spPr>
                </pic:pic>
              </a:graphicData>
            </a:graphic>
          </wp:inline>
        </w:drawing>
      </w:r>
    </w:p>
    <w:p w14:paraId="111F591F" w14:textId="4BFB5BBD" w:rsidR="005E3FEF" w:rsidRDefault="005E3FEF" w:rsidP="00523716">
      <w:pPr>
        <w:spacing w:line="240" w:lineRule="auto"/>
        <w:contextualSpacing/>
        <w:rPr>
          <w:rFonts w:ascii="Times New Roman" w:hAnsi="Times New Roman" w:cs="Times New Roman"/>
          <w:b/>
          <w:bCs/>
          <w:sz w:val="24"/>
          <w:szCs w:val="24"/>
        </w:rPr>
      </w:pPr>
      <w:r w:rsidRPr="005E3FEF">
        <w:rPr>
          <w:rFonts w:ascii="Times New Roman" w:hAnsi="Times New Roman" w:cs="Times New Roman"/>
          <w:b/>
          <w:bCs/>
          <w:sz w:val="24"/>
          <w:szCs w:val="24"/>
        </w:rPr>
        <w:t>Figure 11.  Mean Days of Survival Forest Plot</w:t>
      </w:r>
    </w:p>
    <w:p w14:paraId="04FB34D6" w14:textId="77777777" w:rsidR="005E3FEF" w:rsidRPr="005E3FEF" w:rsidRDefault="005E3FEF" w:rsidP="005E3FEF">
      <w:pPr>
        <w:spacing w:line="240" w:lineRule="auto"/>
        <w:ind w:firstLine="720"/>
        <w:contextualSpacing/>
        <w:rPr>
          <w:rFonts w:ascii="Times New Roman" w:hAnsi="Times New Roman" w:cs="Times New Roman"/>
          <w:b/>
          <w:bCs/>
          <w:sz w:val="24"/>
          <w:szCs w:val="24"/>
        </w:rPr>
      </w:pPr>
    </w:p>
    <w:p w14:paraId="61F9DE8B" w14:textId="4FFF5C89" w:rsidR="005A5563" w:rsidRDefault="005A5563" w:rsidP="00054D97">
      <w:pPr>
        <w:spacing w:line="480" w:lineRule="auto"/>
        <w:rPr>
          <w:rFonts w:ascii="Times New Roman" w:hAnsi="Times New Roman" w:cs="Times New Roman"/>
          <w:sz w:val="24"/>
          <w:szCs w:val="24"/>
        </w:rPr>
      </w:pPr>
      <w:r>
        <w:rPr>
          <w:rFonts w:ascii="Times New Roman" w:hAnsi="Times New Roman" w:cs="Times New Roman"/>
          <w:sz w:val="24"/>
          <w:szCs w:val="24"/>
        </w:rPr>
        <w:tab/>
        <w:t>In testing for the assumptions of the Cox-proportional hazard model, Figures 12, 13, and 14 are introduced which display the log minus log</w:t>
      </w:r>
      <w:r w:rsidR="00CB4D82">
        <w:rPr>
          <w:rFonts w:ascii="Times New Roman" w:hAnsi="Times New Roman" w:cs="Times New Roman"/>
          <w:sz w:val="24"/>
          <w:szCs w:val="24"/>
        </w:rPr>
        <w:t xml:space="preserve"> (LML)</w:t>
      </w:r>
      <w:r>
        <w:rPr>
          <w:rFonts w:ascii="Times New Roman" w:hAnsi="Times New Roman" w:cs="Times New Roman"/>
          <w:sz w:val="24"/>
          <w:szCs w:val="24"/>
        </w:rPr>
        <w:t xml:space="preserve"> plots for each gene.</w:t>
      </w:r>
    </w:p>
    <w:p w14:paraId="00DBB845" w14:textId="2EFD6078" w:rsidR="005A5563" w:rsidRPr="005A5563" w:rsidRDefault="005A5563" w:rsidP="00054D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each of these genes, the </w:t>
      </w:r>
      <w:r w:rsidR="00974AD1">
        <w:rPr>
          <w:rFonts w:ascii="Times New Roman" w:hAnsi="Times New Roman" w:cs="Times New Roman"/>
          <w:sz w:val="24"/>
          <w:szCs w:val="24"/>
        </w:rPr>
        <w:t>curves never meet</w:t>
      </w:r>
      <w:r w:rsidR="0030237A">
        <w:rPr>
          <w:rFonts w:ascii="Times New Roman" w:hAnsi="Times New Roman" w:cs="Times New Roman"/>
          <w:sz w:val="24"/>
          <w:szCs w:val="24"/>
        </w:rPr>
        <w:t xml:space="preserve"> and are considered curved parallel</w:t>
      </w:r>
      <w:r w:rsidR="00974AD1">
        <w:rPr>
          <w:rFonts w:ascii="Times New Roman" w:hAnsi="Times New Roman" w:cs="Times New Roman"/>
          <w:sz w:val="24"/>
          <w:szCs w:val="24"/>
        </w:rPr>
        <w:t xml:space="preserve">, which indicates that the assumptions of the proportional hazards model </w:t>
      </w:r>
      <w:r w:rsidR="00DB0222">
        <w:rPr>
          <w:rFonts w:ascii="Times New Roman" w:hAnsi="Times New Roman" w:cs="Times New Roman"/>
          <w:sz w:val="24"/>
          <w:szCs w:val="24"/>
        </w:rPr>
        <w:t xml:space="preserve">may </w:t>
      </w:r>
      <w:r w:rsidR="00974AD1">
        <w:rPr>
          <w:rFonts w:ascii="Times New Roman" w:hAnsi="Times New Roman" w:cs="Times New Roman"/>
          <w:sz w:val="24"/>
          <w:szCs w:val="24"/>
        </w:rPr>
        <w:t>have been met and not violated</w:t>
      </w:r>
      <w:r w:rsidR="00A50813">
        <w:rPr>
          <w:rFonts w:ascii="Times New Roman" w:hAnsi="Times New Roman" w:cs="Times New Roman"/>
          <w:sz w:val="24"/>
          <w:szCs w:val="24"/>
        </w:rPr>
        <w:t xml:space="preserve"> (In &amp; Lee, 2019)</w:t>
      </w:r>
      <w:r w:rsidR="00974AD1">
        <w:rPr>
          <w:rFonts w:ascii="Times New Roman" w:hAnsi="Times New Roman" w:cs="Times New Roman"/>
          <w:sz w:val="24"/>
          <w:szCs w:val="24"/>
        </w:rPr>
        <w:t>.</w:t>
      </w:r>
      <w:r w:rsidR="000E74EA">
        <w:rPr>
          <w:rFonts w:ascii="Times New Roman" w:hAnsi="Times New Roman" w:cs="Times New Roman"/>
          <w:sz w:val="24"/>
          <w:szCs w:val="24"/>
        </w:rPr>
        <w:t xml:space="preserve">  These plots primarily illustrate that one stratification is easily distinguishable from the other.</w:t>
      </w:r>
    </w:p>
    <w:p w14:paraId="016CB452" w14:textId="44CB1FD4" w:rsidR="005A5563" w:rsidRDefault="00CB4D82" w:rsidP="00FB6DA1">
      <w:pPr>
        <w:spacing w:line="240" w:lineRule="auto"/>
        <w:contextualSpacing/>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A88F177" wp14:editId="78638973">
            <wp:extent cx="5225948" cy="3488724"/>
            <wp:effectExtent l="19050" t="19050" r="13335" b="1651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43936" cy="3500732"/>
                    </a:xfrm>
                    <a:prstGeom prst="rect">
                      <a:avLst/>
                    </a:prstGeom>
                    <a:ln>
                      <a:solidFill>
                        <a:schemeClr val="tx1"/>
                      </a:solidFill>
                    </a:ln>
                  </pic:spPr>
                </pic:pic>
              </a:graphicData>
            </a:graphic>
          </wp:inline>
        </w:drawing>
      </w:r>
    </w:p>
    <w:p w14:paraId="3F90E5D4" w14:textId="7C49CD43" w:rsidR="00CB4D82" w:rsidRDefault="00FB6DA1" w:rsidP="00705BAA">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CB4D82">
        <w:rPr>
          <w:rFonts w:ascii="Times New Roman" w:hAnsi="Times New Roman" w:cs="Times New Roman"/>
          <w:b/>
          <w:bCs/>
          <w:sz w:val="24"/>
          <w:szCs w:val="24"/>
        </w:rPr>
        <w:t xml:space="preserve">Figure 12.  </w:t>
      </w:r>
      <w:r w:rsidR="000253C3">
        <w:rPr>
          <w:rFonts w:ascii="Times New Roman" w:hAnsi="Times New Roman" w:cs="Times New Roman"/>
          <w:b/>
          <w:bCs/>
          <w:sz w:val="24"/>
          <w:szCs w:val="24"/>
        </w:rPr>
        <w:t>LML Plot of COL5A3</w:t>
      </w:r>
    </w:p>
    <w:p w14:paraId="0C19DE9C" w14:textId="123F6918" w:rsidR="00705BAA" w:rsidRDefault="00705BAA" w:rsidP="00054D97">
      <w:pPr>
        <w:spacing w:line="480" w:lineRule="auto"/>
        <w:rPr>
          <w:rFonts w:ascii="Times New Roman" w:hAnsi="Times New Roman" w:cs="Times New Roman"/>
          <w:b/>
          <w:bCs/>
          <w:sz w:val="24"/>
          <w:szCs w:val="24"/>
        </w:rPr>
      </w:pPr>
    </w:p>
    <w:p w14:paraId="25AF7518" w14:textId="47C1D972" w:rsidR="00705BAA" w:rsidRDefault="00705BAA" w:rsidP="00FB6DA1">
      <w:pPr>
        <w:spacing w:line="240" w:lineRule="auto"/>
        <w:contextualSpacing/>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BFCC1E" wp14:editId="0F7A1EF0">
            <wp:extent cx="5225415" cy="3612012"/>
            <wp:effectExtent l="19050" t="19050" r="13335" b="26670"/>
            <wp:docPr id="25" name="Picture 2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39024" cy="3621419"/>
                    </a:xfrm>
                    <a:prstGeom prst="rect">
                      <a:avLst/>
                    </a:prstGeom>
                    <a:ln>
                      <a:solidFill>
                        <a:schemeClr val="tx1"/>
                      </a:solidFill>
                    </a:ln>
                  </pic:spPr>
                </pic:pic>
              </a:graphicData>
            </a:graphic>
          </wp:inline>
        </w:drawing>
      </w:r>
    </w:p>
    <w:p w14:paraId="0D5DF55A" w14:textId="5D933F94" w:rsidR="00705BAA" w:rsidRDefault="00FB6DA1" w:rsidP="000253C3">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0253C3">
        <w:rPr>
          <w:rFonts w:ascii="Times New Roman" w:hAnsi="Times New Roman" w:cs="Times New Roman"/>
          <w:b/>
          <w:bCs/>
          <w:sz w:val="24"/>
          <w:szCs w:val="24"/>
        </w:rPr>
        <w:t>Figure 13.  LML Plot of COL12A1</w:t>
      </w:r>
    </w:p>
    <w:p w14:paraId="7DADDE8B" w14:textId="0FEB8145" w:rsidR="00705BAA" w:rsidRDefault="00705BAA" w:rsidP="00054D97">
      <w:pPr>
        <w:spacing w:line="480" w:lineRule="auto"/>
        <w:rPr>
          <w:rFonts w:ascii="Times New Roman" w:hAnsi="Times New Roman" w:cs="Times New Roman"/>
          <w:b/>
          <w:bCs/>
          <w:sz w:val="24"/>
          <w:szCs w:val="24"/>
        </w:rPr>
      </w:pPr>
    </w:p>
    <w:p w14:paraId="58CAE8BD" w14:textId="010DB141" w:rsidR="000253C3" w:rsidRDefault="000253C3" w:rsidP="000253C3">
      <w:pPr>
        <w:spacing w:line="240" w:lineRule="auto"/>
        <w:contextualSpacing/>
        <w:rPr>
          <w:rFonts w:ascii="Times New Roman" w:hAnsi="Times New Roman" w:cs="Times New Roman"/>
          <w:b/>
          <w:bCs/>
          <w:sz w:val="24"/>
          <w:szCs w:val="24"/>
        </w:rPr>
      </w:pPr>
    </w:p>
    <w:p w14:paraId="4380BCC1" w14:textId="4BCDD07E" w:rsidR="000253C3" w:rsidRDefault="00FB6DA1" w:rsidP="00FB6DA1">
      <w:pPr>
        <w:spacing w:line="240" w:lineRule="auto"/>
        <w:contextualSpacing/>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C447B8" wp14:editId="1D7870F7">
            <wp:extent cx="5225948" cy="3563248"/>
            <wp:effectExtent l="19050" t="19050" r="13335" b="18415"/>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44571" cy="3575946"/>
                    </a:xfrm>
                    <a:prstGeom prst="rect">
                      <a:avLst/>
                    </a:prstGeom>
                    <a:ln>
                      <a:solidFill>
                        <a:schemeClr val="tx1"/>
                      </a:solidFill>
                    </a:ln>
                  </pic:spPr>
                </pic:pic>
              </a:graphicData>
            </a:graphic>
          </wp:inline>
        </w:drawing>
      </w:r>
    </w:p>
    <w:p w14:paraId="69D8CAA2" w14:textId="02D99D71" w:rsidR="00FB6DA1" w:rsidRDefault="00FB6DA1" w:rsidP="00FB6DA1">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Figure 14. LML Plot of COL4A3BP</w:t>
      </w:r>
    </w:p>
    <w:p w14:paraId="7E798C4C" w14:textId="1FAE57D2" w:rsidR="00FB6DA1" w:rsidRDefault="00FB6DA1" w:rsidP="00054D97">
      <w:pPr>
        <w:spacing w:line="480" w:lineRule="auto"/>
        <w:rPr>
          <w:rFonts w:ascii="Times New Roman" w:hAnsi="Times New Roman" w:cs="Times New Roman"/>
          <w:b/>
          <w:bCs/>
          <w:sz w:val="24"/>
          <w:szCs w:val="24"/>
        </w:rPr>
      </w:pPr>
    </w:p>
    <w:p w14:paraId="7E6BDBBE" w14:textId="443DC416" w:rsidR="00AA0DC3" w:rsidRDefault="00AA0DC3" w:rsidP="00054D9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illustrate the hazard ratios over time, it is </w:t>
      </w:r>
      <w:r w:rsidR="008671C1">
        <w:rPr>
          <w:rFonts w:ascii="Times New Roman" w:hAnsi="Times New Roman" w:cs="Times New Roman"/>
          <w:sz w:val="24"/>
          <w:szCs w:val="24"/>
        </w:rPr>
        <w:t>appropriate</w:t>
      </w:r>
      <w:r>
        <w:rPr>
          <w:rFonts w:ascii="Times New Roman" w:hAnsi="Times New Roman" w:cs="Times New Roman"/>
          <w:sz w:val="24"/>
          <w:szCs w:val="24"/>
        </w:rPr>
        <w:t xml:space="preserve"> to </w:t>
      </w:r>
      <w:r w:rsidR="008E18F1">
        <w:rPr>
          <w:rFonts w:ascii="Times New Roman" w:hAnsi="Times New Roman" w:cs="Times New Roman"/>
          <w:sz w:val="24"/>
          <w:szCs w:val="24"/>
        </w:rPr>
        <w:t xml:space="preserve">use </w:t>
      </w:r>
      <w:r>
        <w:rPr>
          <w:rFonts w:ascii="Times New Roman" w:hAnsi="Times New Roman" w:cs="Times New Roman"/>
          <w:sz w:val="24"/>
          <w:szCs w:val="24"/>
        </w:rPr>
        <w:t>a time varying coefficient model for each gene</w:t>
      </w:r>
      <w:r w:rsidR="008E18F1">
        <w:rPr>
          <w:rFonts w:ascii="Times New Roman" w:hAnsi="Times New Roman" w:cs="Times New Roman"/>
          <w:sz w:val="24"/>
          <w:szCs w:val="24"/>
        </w:rPr>
        <w:t xml:space="preserve"> (Zhang et al., 2015)</w:t>
      </w:r>
      <w:r>
        <w:rPr>
          <w:rFonts w:ascii="Times New Roman" w:hAnsi="Times New Roman" w:cs="Times New Roman"/>
          <w:sz w:val="24"/>
          <w:szCs w:val="24"/>
        </w:rPr>
        <w:t xml:space="preserve">.  Figure 15, 16, and 17 display how </w:t>
      </w:r>
      <w:r w:rsidR="00414C27">
        <w:rPr>
          <w:rFonts w:ascii="Times New Roman" w:hAnsi="Times New Roman" w:cs="Times New Roman"/>
          <w:sz w:val="24"/>
          <w:szCs w:val="24"/>
        </w:rPr>
        <w:t>probabilities</w:t>
      </w:r>
      <w:r>
        <w:rPr>
          <w:rFonts w:ascii="Times New Roman" w:hAnsi="Times New Roman" w:cs="Times New Roman"/>
          <w:sz w:val="24"/>
          <w:szCs w:val="24"/>
        </w:rPr>
        <w:t xml:space="preserve"> </w:t>
      </w:r>
      <w:r w:rsidR="00DC1A3A">
        <w:rPr>
          <w:rFonts w:ascii="Times New Roman" w:hAnsi="Times New Roman" w:cs="Times New Roman"/>
          <w:sz w:val="24"/>
          <w:szCs w:val="24"/>
        </w:rPr>
        <w:t xml:space="preserve">or hazard ratios </w:t>
      </w:r>
      <w:r>
        <w:rPr>
          <w:rFonts w:ascii="Times New Roman" w:hAnsi="Times New Roman" w:cs="Times New Roman"/>
          <w:sz w:val="24"/>
          <w:szCs w:val="24"/>
        </w:rPr>
        <w:t>var</w:t>
      </w:r>
      <w:r w:rsidR="00414C27">
        <w:rPr>
          <w:rFonts w:ascii="Times New Roman" w:hAnsi="Times New Roman" w:cs="Times New Roman"/>
          <w:sz w:val="24"/>
          <w:szCs w:val="24"/>
        </w:rPr>
        <w:t>y</w:t>
      </w:r>
      <w:r>
        <w:rPr>
          <w:rFonts w:ascii="Times New Roman" w:hAnsi="Times New Roman" w:cs="Times New Roman"/>
          <w:sz w:val="24"/>
          <w:szCs w:val="24"/>
        </w:rPr>
        <w:t xml:space="preserve"> over time.  The green line is the beta line and is the reference for no effect.  The hazard ratio</w:t>
      </w:r>
      <w:r w:rsidR="00F742E0">
        <w:rPr>
          <w:rFonts w:ascii="Times New Roman" w:hAnsi="Times New Roman" w:cs="Times New Roman"/>
          <w:sz w:val="24"/>
          <w:szCs w:val="24"/>
        </w:rPr>
        <w:t xml:space="preserve"> for each statistically significant finding is represented by the blue line and represents the average hazard over time</w:t>
      </w:r>
      <w:r w:rsidR="002F2255">
        <w:rPr>
          <w:rFonts w:ascii="Times New Roman" w:hAnsi="Times New Roman" w:cs="Times New Roman"/>
          <w:sz w:val="24"/>
          <w:szCs w:val="24"/>
        </w:rPr>
        <w:t>, except for COL12A1</w:t>
      </w:r>
      <w:r w:rsidR="008D46A5">
        <w:rPr>
          <w:rFonts w:ascii="Times New Roman" w:hAnsi="Times New Roman" w:cs="Times New Roman"/>
          <w:sz w:val="24"/>
          <w:szCs w:val="24"/>
        </w:rPr>
        <w:t>, which had no stratified significant finding</w:t>
      </w:r>
      <w:r w:rsidR="00F742E0">
        <w:rPr>
          <w:rFonts w:ascii="Times New Roman" w:hAnsi="Times New Roman" w:cs="Times New Roman"/>
          <w:sz w:val="24"/>
          <w:szCs w:val="24"/>
        </w:rPr>
        <w:t>.  The x-axis is not to linear scale as this visualization has transformed the hazard over time to illustrate time variation.  The dashed lines represent the upper and lower limits of the 95% confidence intervals.  None of these hazard ratio models are time constant, although Figure 16 is closer to being time constant than the others.</w:t>
      </w:r>
    </w:p>
    <w:p w14:paraId="69CCDCEE" w14:textId="3BFCAE00" w:rsidR="00AA0DC3" w:rsidRPr="00AA0DC3" w:rsidRDefault="00F742E0" w:rsidP="002F2255">
      <w:pPr>
        <w:spacing w:line="240" w:lineRule="auto"/>
        <w:contextualSpacing/>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9744" behindDoc="0" locked="0" layoutInCell="1" allowOverlap="1" wp14:anchorId="67AC013A" wp14:editId="748CDF84">
                <wp:simplePos x="0" y="0"/>
                <wp:positionH relativeFrom="column">
                  <wp:posOffset>665682</wp:posOffset>
                </wp:positionH>
                <wp:positionV relativeFrom="paragraph">
                  <wp:posOffset>1704442</wp:posOffset>
                </wp:positionV>
                <wp:extent cx="4725619"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725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E2C81"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2.4pt,134.2pt" to="424.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" strokecolor="#5b9bd5 [3204]" strokeweight=".5pt">
                <v:stroke joinstyle="miter"/>
              </v:line>
            </w:pict>
          </mc:Fallback>
        </mc:AlternateContent>
      </w:r>
      <w:r w:rsidR="00AA0DC3" w:rsidRPr="00AB1DDB">
        <w:rPr>
          <w:noProof/>
        </w:rPr>
        <w:drawing>
          <wp:inline distT="0" distB="0" distL="0" distR="0" wp14:anchorId="26388D41" wp14:editId="30C59A23">
            <wp:extent cx="5705475" cy="3521075"/>
            <wp:effectExtent l="19050" t="19050" r="28575" b="222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5"/>
                    <a:stretch>
                      <a:fillRect/>
                    </a:stretch>
                  </pic:blipFill>
                  <pic:spPr>
                    <a:xfrm>
                      <a:off x="0" y="0"/>
                      <a:ext cx="5705475" cy="3521075"/>
                    </a:xfrm>
                    <a:prstGeom prst="rect">
                      <a:avLst/>
                    </a:prstGeom>
                    <a:ln>
                      <a:solidFill>
                        <a:schemeClr val="tx1"/>
                      </a:solidFill>
                    </a:ln>
                  </pic:spPr>
                </pic:pic>
              </a:graphicData>
            </a:graphic>
          </wp:inline>
        </w:drawing>
      </w:r>
    </w:p>
    <w:p w14:paraId="0FDB1C6F" w14:textId="38968DC0" w:rsidR="00FB6DA1" w:rsidRDefault="002F2255" w:rsidP="002F2255">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AA0DC3">
        <w:rPr>
          <w:rFonts w:ascii="Times New Roman" w:hAnsi="Times New Roman" w:cs="Times New Roman"/>
          <w:b/>
          <w:bCs/>
          <w:sz w:val="24"/>
          <w:szCs w:val="24"/>
        </w:rPr>
        <w:t>Figure 15.  Time-Varying coefficient for COL5A3.</w:t>
      </w:r>
    </w:p>
    <w:p w14:paraId="6F863680" w14:textId="65362864" w:rsidR="002F2255" w:rsidRDefault="002F2255" w:rsidP="00AA0DC3">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*Blue line represents duplication with HR = 1.349.</w:t>
      </w:r>
    </w:p>
    <w:p w14:paraId="719BA21F" w14:textId="784F1060" w:rsidR="00AA0DC3" w:rsidRDefault="00AA0DC3" w:rsidP="00AA0DC3">
      <w:pPr>
        <w:spacing w:line="240" w:lineRule="auto"/>
        <w:contextualSpacing/>
        <w:rPr>
          <w:rFonts w:ascii="Times New Roman" w:hAnsi="Times New Roman" w:cs="Times New Roman"/>
          <w:b/>
          <w:bCs/>
          <w:sz w:val="24"/>
          <w:szCs w:val="24"/>
        </w:rPr>
      </w:pPr>
    </w:p>
    <w:p w14:paraId="0C3428BE" w14:textId="76C39C30" w:rsidR="00F742E0" w:rsidRDefault="002F2255" w:rsidP="002F2255">
      <w:pPr>
        <w:spacing w:line="240" w:lineRule="auto"/>
        <w:contextualSpacing/>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494BC2F7" wp14:editId="2F97CE2C">
                <wp:simplePos x="0" y="0"/>
                <wp:positionH relativeFrom="column">
                  <wp:posOffset>665682</wp:posOffset>
                </wp:positionH>
                <wp:positionV relativeFrom="paragraph">
                  <wp:posOffset>1405585</wp:posOffset>
                </wp:positionV>
                <wp:extent cx="4725035" cy="36576"/>
                <wp:effectExtent l="0" t="0" r="37465" b="20955"/>
                <wp:wrapNone/>
                <wp:docPr id="37" name="Straight Connector 37"/>
                <wp:cNvGraphicFramePr/>
                <a:graphic xmlns:a="http://schemas.openxmlformats.org/drawingml/2006/main">
                  <a:graphicData uri="http://schemas.microsoft.com/office/word/2010/wordprocessingShape">
                    <wps:wsp>
                      <wps:cNvCnPr/>
                      <wps:spPr>
                        <a:xfrm>
                          <a:off x="0" y="0"/>
                          <a:ext cx="4725035" cy="36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CAE03" id="Straight Connector 3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2.4pt,110.7pt" to="424.4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" strokecolor="#5b9bd5 [3204]" strokeweight=".5pt">
                <v:stroke joinstyle="miter"/>
              </v:line>
            </w:pict>
          </mc:Fallback>
        </mc:AlternateContent>
      </w:r>
      <w:r w:rsidR="00F742E0" w:rsidRPr="00AB1DDB">
        <w:rPr>
          <w:noProof/>
        </w:rPr>
        <w:drawing>
          <wp:inline distT="0" distB="0" distL="0" distR="0" wp14:anchorId="32790F14" wp14:editId="42A3F2D9">
            <wp:extent cx="5685790" cy="3323874"/>
            <wp:effectExtent l="19050" t="19050" r="10160" b="1016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6"/>
                    <a:stretch>
                      <a:fillRect/>
                    </a:stretch>
                  </pic:blipFill>
                  <pic:spPr>
                    <a:xfrm>
                      <a:off x="0" y="0"/>
                      <a:ext cx="5731759" cy="3350747"/>
                    </a:xfrm>
                    <a:prstGeom prst="rect">
                      <a:avLst/>
                    </a:prstGeom>
                    <a:ln>
                      <a:solidFill>
                        <a:schemeClr val="tx1"/>
                      </a:solidFill>
                    </a:ln>
                  </pic:spPr>
                </pic:pic>
              </a:graphicData>
            </a:graphic>
          </wp:inline>
        </w:drawing>
      </w:r>
    </w:p>
    <w:p w14:paraId="1B2B7E21" w14:textId="5B6358B4" w:rsidR="00F742E0" w:rsidRDefault="00022BF4" w:rsidP="00F742E0">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2F2255">
        <w:rPr>
          <w:rFonts w:ascii="Times New Roman" w:hAnsi="Times New Roman" w:cs="Times New Roman"/>
          <w:b/>
          <w:bCs/>
          <w:sz w:val="24"/>
          <w:szCs w:val="24"/>
        </w:rPr>
        <w:t xml:space="preserve">  </w:t>
      </w:r>
      <w:r w:rsidR="00F742E0">
        <w:rPr>
          <w:rFonts w:ascii="Times New Roman" w:hAnsi="Times New Roman" w:cs="Times New Roman"/>
          <w:b/>
          <w:bCs/>
          <w:sz w:val="24"/>
          <w:szCs w:val="24"/>
        </w:rPr>
        <w:t>Figure 16.  Time-Varying coefficient for COL12A1.</w:t>
      </w:r>
    </w:p>
    <w:p w14:paraId="74A89995" w14:textId="0D4ED473" w:rsidR="002F2255" w:rsidRDefault="00022BF4" w:rsidP="00F742E0">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2F2255">
        <w:rPr>
          <w:rFonts w:ascii="Times New Roman" w:hAnsi="Times New Roman" w:cs="Times New Roman"/>
          <w:b/>
          <w:bCs/>
          <w:sz w:val="24"/>
          <w:szCs w:val="24"/>
        </w:rPr>
        <w:t xml:space="preserve">  *Blue line represents deletion with HR = 2.077</w:t>
      </w:r>
    </w:p>
    <w:p w14:paraId="041D0939" w14:textId="59308916" w:rsidR="00AA0DC3" w:rsidRDefault="00AA0DC3" w:rsidP="00AA0DC3">
      <w:pPr>
        <w:spacing w:line="240" w:lineRule="auto"/>
        <w:contextualSpacing/>
        <w:rPr>
          <w:rFonts w:ascii="Times New Roman" w:hAnsi="Times New Roman" w:cs="Times New Roman"/>
          <w:b/>
          <w:bCs/>
          <w:sz w:val="24"/>
          <w:szCs w:val="24"/>
        </w:rPr>
      </w:pPr>
    </w:p>
    <w:p w14:paraId="3607E80F" w14:textId="342798F1" w:rsidR="00F742E0" w:rsidRDefault="00F742E0" w:rsidP="002F2255">
      <w:pPr>
        <w:spacing w:line="240" w:lineRule="auto"/>
        <w:contextualSpacing/>
        <w:jc w:val="center"/>
        <w:rPr>
          <w:rFonts w:ascii="Times New Roman" w:hAnsi="Times New Roman" w:cs="Times New Roman"/>
          <w:b/>
          <w:bCs/>
          <w:sz w:val="24"/>
          <w:szCs w:val="24"/>
        </w:rPr>
      </w:pPr>
      <w:r w:rsidRPr="00AB1DDB">
        <w:rPr>
          <w:noProof/>
        </w:rPr>
        <w:lastRenderedPageBreak/>
        <w:drawing>
          <wp:inline distT="0" distB="0" distL="0" distR="0" wp14:anchorId="6E231CA8" wp14:editId="10D6EDFA">
            <wp:extent cx="5685790" cy="3509010"/>
            <wp:effectExtent l="19050" t="19050" r="10160" b="1524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7"/>
                    <a:stretch>
                      <a:fillRect/>
                    </a:stretch>
                  </pic:blipFill>
                  <pic:spPr>
                    <a:xfrm>
                      <a:off x="0" y="0"/>
                      <a:ext cx="5699112" cy="3517232"/>
                    </a:xfrm>
                    <a:prstGeom prst="rect">
                      <a:avLst/>
                    </a:prstGeom>
                    <a:ln>
                      <a:solidFill>
                        <a:schemeClr val="tx1"/>
                      </a:solidFill>
                    </a:ln>
                  </pic:spPr>
                </pic:pic>
              </a:graphicData>
            </a:graphic>
          </wp:inline>
        </w:drawing>
      </w:r>
    </w:p>
    <w:p w14:paraId="3C6972C6" w14:textId="601A513C" w:rsidR="00F742E0" w:rsidRDefault="002F2255" w:rsidP="00F742E0">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022BF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F742E0">
        <w:rPr>
          <w:rFonts w:ascii="Times New Roman" w:hAnsi="Times New Roman" w:cs="Times New Roman"/>
          <w:b/>
          <w:bCs/>
          <w:sz w:val="24"/>
          <w:szCs w:val="24"/>
        </w:rPr>
        <w:t>Figure 1</w:t>
      </w:r>
      <w:r w:rsidR="00A9679B">
        <w:rPr>
          <w:rFonts w:ascii="Times New Roman" w:hAnsi="Times New Roman" w:cs="Times New Roman"/>
          <w:b/>
          <w:bCs/>
          <w:sz w:val="24"/>
          <w:szCs w:val="24"/>
        </w:rPr>
        <w:t>7</w:t>
      </w:r>
      <w:r w:rsidR="00F742E0">
        <w:rPr>
          <w:rFonts w:ascii="Times New Roman" w:hAnsi="Times New Roman" w:cs="Times New Roman"/>
          <w:b/>
          <w:bCs/>
          <w:sz w:val="24"/>
          <w:szCs w:val="24"/>
        </w:rPr>
        <w:t>.  Time-Varying coefficient for COL4A3BP.</w:t>
      </w:r>
    </w:p>
    <w:p w14:paraId="761EE4C4" w14:textId="438B8B14" w:rsidR="002F2255" w:rsidRDefault="002F2255" w:rsidP="00F742E0">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 </w:t>
      </w:r>
      <w:r w:rsidR="00022BF4">
        <w:rPr>
          <w:rFonts w:ascii="Times New Roman" w:hAnsi="Times New Roman" w:cs="Times New Roman"/>
          <w:b/>
          <w:bCs/>
          <w:sz w:val="24"/>
          <w:szCs w:val="24"/>
        </w:rPr>
        <w:t xml:space="preserve"> </w:t>
      </w:r>
      <w:r>
        <w:rPr>
          <w:rFonts w:ascii="Times New Roman" w:hAnsi="Times New Roman" w:cs="Times New Roman"/>
          <w:b/>
          <w:bCs/>
          <w:sz w:val="24"/>
          <w:szCs w:val="24"/>
        </w:rPr>
        <w:t xml:space="preserve"> *No blue line as no stratified finding was statistically significant.</w:t>
      </w:r>
    </w:p>
    <w:p w14:paraId="59B54BD8" w14:textId="002238A7" w:rsidR="00F742E0" w:rsidRDefault="00F742E0" w:rsidP="00AA0DC3">
      <w:pPr>
        <w:spacing w:line="240" w:lineRule="auto"/>
        <w:contextualSpacing/>
        <w:rPr>
          <w:rFonts w:ascii="Times New Roman" w:hAnsi="Times New Roman" w:cs="Times New Roman"/>
          <w:b/>
          <w:bCs/>
          <w:sz w:val="24"/>
          <w:szCs w:val="24"/>
        </w:rPr>
      </w:pPr>
    </w:p>
    <w:p w14:paraId="3BE40508" w14:textId="07127E0B" w:rsidR="00022BF4" w:rsidRPr="00022BF4" w:rsidRDefault="00022BF4" w:rsidP="00022BF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time-varying coefficient models, according to these plots, </w:t>
      </w:r>
      <w:r w:rsidR="00AF5F2B">
        <w:rPr>
          <w:rFonts w:ascii="Times New Roman" w:hAnsi="Times New Roman" w:cs="Times New Roman"/>
          <w:sz w:val="24"/>
          <w:szCs w:val="24"/>
        </w:rPr>
        <w:t>illustrate that these survival models</w:t>
      </w:r>
      <w:r>
        <w:rPr>
          <w:rFonts w:ascii="Times New Roman" w:hAnsi="Times New Roman" w:cs="Times New Roman"/>
          <w:sz w:val="24"/>
          <w:szCs w:val="24"/>
        </w:rPr>
        <w:t xml:space="preserve"> violate one of the assumptions of the Cox-proportional hazards model, which is that the hazard is constant over time.</w:t>
      </w:r>
    </w:p>
    <w:p w14:paraId="25B218AD" w14:textId="77777777" w:rsidR="00F742E0" w:rsidRDefault="00F742E0" w:rsidP="00AA0DC3">
      <w:pPr>
        <w:spacing w:line="240" w:lineRule="auto"/>
        <w:contextualSpacing/>
        <w:rPr>
          <w:rFonts w:ascii="Times New Roman" w:hAnsi="Times New Roman" w:cs="Times New Roman"/>
          <w:b/>
          <w:bCs/>
          <w:sz w:val="24"/>
          <w:szCs w:val="24"/>
        </w:rPr>
      </w:pPr>
    </w:p>
    <w:p w14:paraId="5EB94E4A" w14:textId="18084210"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20D9C95" w14:textId="7CDB543A" w:rsidR="00F4049C" w:rsidRDefault="00F4049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Potential mechanisms of action are also important to keep in mind with these findings as they may help establish causality in the future or lead to more research.  The COL12A1 gene is a protein coding gene which is associated with fibrils and type-I collagen </w:t>
      </w:r>
      <w:r w:rsidR="006416C3">
        <w:rPr>
          <w:rFonts w:ascii="Times New Roman" w:hAnsi="Times New Roman" w:cs="Times New Roman"/>
          <w:sz w:val="24"/>
          <w:szCs w:val="24"/>
        </w:rPr>
        <w:t>which has been found to interact</w:t>
      </w:r>
      <w:r>
        <w:rPr>
          <w:rFonts w:ascii="Times New Roman" w:hAnsi="Times New Roman" w:cs="Times New Roman"/>
          <w:sz w:val="24"/>
          <w:szCs w:val="24"/>
        </w:rPr>
        <w:t xml:space="preserve"> between the fibrils and the protein matrix (</w:t>
      </w:r>
      <w:proofErr w:type="spellStart"/>
      <w:r>
        <w:rPr>
          <w:rFonts w:ascii="Times New Roman" w:hAnsi="Times New Roman" w:cs="Times New Roman"/>
          <w:sz w:val="24"/>
          <w:szCs w:val="24"/>
        </w:rPr>
        <w:t>GeneCards</w:t>
      </w:r>
      <w:proofErr w:type="spellEnd"/>
      <w:r>
        <w:rPr>
          <w:rFonts w:ascii="Times New Roman" w:hAnsi="Times New Roman" w:cs="Times New Roman"/>
          <w:sz w:val="24"/>
          <w:szCs w:val="24"/>
        </w:rPr>
        <w:t xml:space="preserve"> - COL12A1, 2021).  This</w:t>
      </w:r>
      <w:r w:rsidR="00404B71">
        <w:rPr>
          <w:rFonts w:ascii="Times New Roman" w:hAnsi="Times New Roman" w:cs="Times New Roman"/>
          <w:sz w:val="24"/>
          <w:szCs w:val="24"/>
        </w:rPr>
        <w:t xml:space="preserve"> </w:t>
      </w:r>
      <w:r>
        <w:rPr>
          <w:rFonts w:ascii="Times New Roman" w:hAnsi="Times New Roman" w:cs="Times New Roman"/>
          <w:sz w:val="24"/>
          <w:szCs w:val="24"/>
        </w:rPr>
        <w:t xml:space="preserve">translates to </w:t>
      </w:r>
      <w:r w:rsidR="00404B71">
        <w:rPr>
          <w:rFonts w:ascii="Times New Roman" w:hAnsi="Times New Roman" w:cs="Times New Roman"/>
          <w:sz w:val="24"/>
          <w:szCs w:val="24"/>
        </w:rPr>
        <w:t xml:space="preserve">having effects on </w:t>
      </w:r>
      <w:r>
        <w:rPr>
          <w:rFonts w:ascii="Times New Roman" w:hAnsi="Times New Roman" w:cs="Times New Roman"/>
          <w:sz w:val="24"/>
          <w:szCs w:val="24"/>
        </w:rPr>
        <w:t xml:space="preserve">tensile strength of the ECM.  This could potentially have </w:t>
      </w:r>
      <w:r w:rsidR="00FB0EF3">
        <w:rPr>
          <w:rFonts w:ascii="Times New Roman" w:hAnsi="Times New Roman" w:cs="Times New Roman"/>
          <w:sz w:val="24"/>
          <w:szCs w:val="24"/>
        </w:rPr>
        <w:t>effects</w:t>
      </w:r>
      <w:r>
        <w:rPr>
          <w:rFonts w:ascii="Times New Roman" w:hAnsi="Times New Roman" w:cs="Times New Roman"/>
          <w:sz w:val="24"/>
          <w:szCs w:val="24"/>
        </w:rPr>
        <w:t xml:space="preserve"> on tumorigenesis or drug resistance mechanisms.</w:t>
      </w:r>
    </w:p>
    <w:p w14:paraId="7A1AC450" w14:textId="7DA31BED" w:rsidR="00F4049C" w:rsidRDefault="00F4049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COL4A3BP gene has a different coding mechanism</w:t>
      </w:r>
      <w:r w:rsidR="00134061">
        <w:rPr>
          <w:rFonts w:ascii="Times New Roman" w:hAnsi="Times New Roman" w:cs="Times New Roman"/>
          <w:sz w:val="24"/>
          <w:szCs w:val="24"/>
        </w:rPr>
        <w:t xml:space="preserve"> than the other two statistically significant gene</w:t>
      </w:r>
      <w:r w:rsidR="00794209">
        <w:rPr>
          <w:rFonts w:ascii="Times New Roman" w:hAnsi="Times New Roman" w:cs="Times New Roman"/>
          <w:sz w:val="24"/>
          <w:szCs w:val="24"/>
        </w:rPr>
        <w:t xml:space="preserve"> findings</w:t>
      </w:r>
      <w:r>
        <w:rPr>
          <w:rFonts w:ascii="Times New Roman" w:hAnsi="Times New Roman" w:cs="Times New Roman"/>
          <w:sz w:val="24"/>
          <w:szCs w:val="24"/>
        </w:rPr>
        <w:t xml:space="preserve"> and doesn’t directly code for a protein.  This gene encodes for phosphorylation of a terminal on a chain of type-IV collagen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affects the ceramide transporter </w:t>
      </w:r>
      <w:r w:rsidR="002C06B5">
        <w:rPr>
          <w:rFonts w:ascii="Times New Roman" w:hAnsi="Times New Roman" w:cs="Times New Roman"/>
          <w:sz w:val="24"/>
          <w:szCs w:val="24"/>
        </w:rPr>
        <w:t xml:space="preserve">(CERT-I) </w:t>
      </w:r>
      <w:r>
        <w:rPr>
          <w:rFonts w:ascii="Times New Roman" w:hAnsi="Times New Roman" w:cs="Times New Roman"/>
          <w:sz w:val="24"/>
          <w:szCs w:val="24"/>
        </w:rPr>
        <w:t>protein I (</w:t>
      </w:r>
      <w:proofErr w:type="spellStart"/>
      <w:r>
        <w:rPr>
          <w:rFonts w:ascii="Times New Roman" w:hAnsi="Times New Roman" w:cs="Times New Roman"/>
          <w:sz w:val="24"/>
          <w:szCs w:val="24"/>
        </w:rPr>
        <w:t>GeneCard</w:t>
      </w:r>
      <w:r w:rsidR="002C06B5">
        <w:rPr>
          <w:rFonts w:ascii="Times New Roman" w:hAnsi="Times New Roman" w:cs="Times New Roman"/>
          <w:sz w:val="24"/>
          <w:szCs w:val="24"/>
        </w:rPr>
        <w:t>s</w:t>
      </w:r>
      <w:proofErr w:type="spellEnd"/>
      <w:r w:rsidR="002C06B5">
        <w:rPr>
          <w:rFonts w:ascii="Times New Roman" w:hAnsi="Times New Roman" w:cs="Times New Roman"/>
          <w:sz w:val="24"/>
          <w:szCs w:val="24"/>
        </w:rPr>
        <w:t xml:space="preserve"> – COL4A3BP, 2021)</w:t>
      </w:r>
      <w:r>
        <w:rPr>
          <w:rFonts w:ascii="Times New Roman" w:hAnsi="Times New Roman" w:cs="Times New Roman"/>
          <w:sz w:val="24"/>
          <w:szCs w:val="24"/>
        </w:rPr>
        <w:t>.</w:t>
      </w:r>
      <w:r w:rsidR="002C06B5">
        <w:rPr>
          <w:rFonts w:ascii="Times New Roman" w:hAnsi="Times New Roman" w:cs="Times New Roman"/>
          <w:sz w:val="24"/>
          <w:szCs w:val="24"/>
        </w:rPr>
        <w:t xml:space="preserve">  CERT proteins are known for interacting with ECM components such as collagen type-IV</w:t>
      </w:r>
      <w:r w:rsidR="00794209">
        <w:rPr>
          <w:rFonts w:ascii="Times New Roman" w:hAnsi="Times New Roman" w:cs="Times New Roman"/>
          <w:sz w:val="24"/>
          <w:szCs w:val="24"/>
        </w:rPr>
        <w:t>,</w:t>
      </w:r>
      <w:r w:rsidR="002C06B5">
        <w:rPr>
          <w:rFonts w:ascii="Times New Roman" w:hAnsi="Times New Roman" w:cs="Times New Roman"/>
          <w:sz w:val="24"/>
          <w:szCs w:val="24"/>
        </w:rPr>
        <w:t xml:space="preserve"> as well as having </w:t>
      </w:r>
      <w:r w:rsidR="008838E6">
        <w:rPr>
          <w:rFonts w:ascii="Times New Roman" w:hAnsi="Times New Roman" w:cs="Times New Roman"/>
          <w:sz w:val="24"/>
          <w:szCs w:val="24"/>
        </w:rPr>
        <w:t>effect</w:t>
      </w:r>
      <w:r w:rsidR="002C06B5">
        <w:rPr>
          <w:rFonts w:ascii="Times New Roman" w:hAnsi="Times New Roman" w:cs="Times New Roman"/>
          <w:sz w:val="24"/>
          <w:szCs w:val="24"/>
        </w:rPr>
        <w:t xml:space="preserve"> on the clearance of apoptotic cells (Bode et al., 2014).</w:t>
      </w:r>
      <w:r w:rsidR="000E4FCC">
        <w:rPr>
          <w:rFonts w:ascii="Times New Roman" w:hAnsi="Times New Roman" w:cs="Times New Roman"/>
          <w:sz w:val="24"/>
          <w:szCs w:val="24"/>
        </w:rPr>
        <w:t xml:space="preserve">  </w:t>
      </w:r>
      <w:r w:rsidR="00B61983">
        <w:rPr>
          <w:rFonts w:ascii="Times New Roman" w:hAnsi="Times New Roman" w:cs="Times New Roman"/>
          <w:sz w:val="24"/>
          <w:szCs w:val="24"/>
        </w:rPr>
        <w:t>This may affect the signaling in cell death which might have a direct effect on tumorigenesis (</w:t>
      </w:r>
      <w:proofErr w:type="spellStart"/>
      <w:r w:rsidR="00B61983">
        <w:rPr>
          <w:rFonts w:ascii="Times New Roman" w:hAnsi="Times New Roman" w:cs="Times New Roman"/>
          <w:sz w:val="24"/>
          <w:szCs w:val="24"/>
        </w:rPr>
        <w:t>Scheffer</w:t>
      </w:r>
      <w:proofErr w:type="spellEnd"/>
      <w:r w:rsidR="00B61983">
        <w:rPr>
          <w:rFonts w:ascii="Times New Roman" w:hAnsi="Times New Roman" w:cs="Times New Roman"/>
          <w:sz w:val="24"/>
          <w:szCs w:val="24"/>
        </w:rPr>
        <w:t xml:space="preserve"> et al., 2011).  </w:t>
      </w:r>
      <w:r w:rsidR="000631FD">
        <w:rPr>
          <w:rFonts w:ascii="Times New Roman" w:hAnsi="Times New Roman" w:cs="Times New Roman"/>
          <w:sz w:val="24"/>
          <w:szCs w:val="24"/>
        </w:rPr>
        <w:t>Clearing apoptotic cells is considered to have an anti-inflammatory affect, as well as an anti-tumor affect, and defects in th</w:t>
      </w:r>
      <w:r w:rsidR="004C3D74">
        <w:rPr>
          <w:rFonts w:ascii="Times New Roman" w:hAnsi="Times New Roman" w:cs="Times New Roman"/>
          <w:sz w:val="24"/>
          <w:szCs w:val="24"/>
        </w:rPr>
        <w:t>e</w:t>
      </w:r>
      <w:r w:rsidR="000631FD">
        <w:rPr>
          <w:rFonts w:ascii="Times New Roman" w:hAnsi="Times New Roman" w:cs="Times New Roman"/>
          <w:sz w:val="24"/>
          <w:szCs w:val="24"/>
        </w:rPr>
        <w:t xml:space="preserve"> clearance of apoptotic cells is linked to multiple disease states (Poon et al., 2014).  </w:t>
      </w:r>
      <w:r w:rsidR="000E4FCC">
        <w:rPr>
          <w:rFonts w:ascii="Times New Roman" w:hAnsi="Times New Roman" w:cs="Times New Roman"/>
          <w:sz w:val="24"/>
          <w:szCs w:val="24"/>
        </w:rPr>
        <w:t>It is possible this is a mechanism behind why mutations in this CNV affect survival of ovarian cancer patients.  However, this mechanism with CNV mutations should be researched more.</w:t>
      </w:r>
    </w:p>
    <w:p w14:paraId="1B636B08" w14:textId="780B24BE" w:rsidR="000E4FCC" w:rsidRDefault="000E4FCC"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The COL5A3 gene is a protein encoding gene which encodes for a type of less abundant fibrillar collagen (</w:t>
      </w:r>
      <w:proofErr w:type="spellStart"/>
      <w:r>
        <w:rPr>
          <w:rFonts w:ascii="Times New Roman" w:hAnsi="Times New Roman" w:cs="Times New Roman"/>
          <w:sz w:val="24"/>
          <w:szCs w:val="24"/>
        </w:rPr>
        <w:t>GeneCards</w:t>
      </w:r>
      <w:proofErr w:type="spellEnd"/>
      <w:r>
        <w:rPr>
          <w:rFonts w:ascii="Times New Roman" w:hAnsi="Times New Roman" w:cs="Times New Roman"/>
          <w:sz w:val="24"/>
          <w:szCs w:val="24"/>
        </w:rPr>
        <w:t xml:space="preserve"> – COL5A3, 2021).</w:t>
      </w:r>
      <w:r w:rsidR="00B61983">
        <w:rPr>
          <w:rFonts w:ascii="Times New Roman" w:hAnsi="Times New Roman" w:cs="Times New Roman"/>
          <w:sz w:val="24"/>
          <w:szCs w:val="24"/>
        </w:rPr>
        <w:t xml:space="preserve">  Mutations in this gene cause connective tissue abnormalities, which could potentially affect the ovaries</w:t>
      </w:r>
      <w:r w:rsidR="00355277">
        <w:rPr>
          <w:rFonts w:ascii="Times New Roman" w:hAnsi="Times New Roman" w:cs="Times New Roman"/>
          <w:sz w:val="24"/>
          <w:szCs w:val="24"/>
        </w:rPr>
        <w:t>, but are more commonly seen in the disease grouping called Ehlers-Danlos Syndrome (</w:t>
      </w:r>
      <w:proofErr w:type="spellStart"/>
      <w:r w:rsidR="00355277">
        <w:rPr>
          <w:rFonts w:ascii="Times New Roman" w:hAnsi="Times New Roman" w:cs="Times New Roman"/>
          <w:sz w:val="24"/>
          <w:szCs w:val="24"/>
        </w:rPr>
        <w:t>MalaCards</w:t>
      </w:r>
      <w:proofErr w:type="spellEnd"/>
      <w:r w:rsidR="00355277">
        <w:rPr>
          <w:rFonts w:ascii="Times New Roman" w:hAnsi="Times New Roman" w:cs="Times New Roman"/>
          <w:sz w:val="24"/>
          <w:szCs w:val="24"/>
        </w:rPr>
        <w:t>, 2021).</w:t>
      </w:r>
      <w:r w:rsidR="0023114E">
        <w:rPr>
          <w:rFonts w:ascii="Times New Roman" w:hAnsi="Times New Roman" w:cs="Times New Roman"/>
          <w:sz w:val="24"/>
          <w:szCs w:val="24"/>
        </w:rPr>
        <w:t xml:space="preserve">  This could potentially be a causal mechanism in ovarian cancer as collagen is a central component in neoplasm fibrosis </w:t>
      </w:r>
      <w:r w:rsidR="0023114E" w:rsidRPr="00730FF1">
        <w:rPr>
          <w:rFonts w:ascii="Times New Roman" w:eastAsia="Times New Roman" w:hAnsi="Times New Roman" w:cs="Times New Roman"/>
          <w:color w:val="000000"/>
          <w:sz w:val="24"/>
          <w:szCs w:val="24"/>
        </w:rPr>
        <w:t>(Xu et al., 2019)</w:t>
      </w:r>
      <w:r w:rsidR="0023114E" w:rsidRPr="00D15DD8">
        <w:rPr>
          <w:rFonts w:ascii="Times New Roman" w:hAnsi="Times New Roman" w:cs="Times New Roman"/>
          <w:sz w:val="24"/>
          <w:szCs w:val="24"/>
        </w:rPr>
        <w:t>.</w:t>
      </w:r>
    </w:p>
    <w:p w14:paraId="7CC5D06B" w14:textId="2F57DE9A" w:rsidR="00A62D3E" w:rsidRDefault="00A62D3E"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models, according to the time-varying hazard models, violate assumptions of the Cox-proportional hazard model, they are still useful in mapping the changing hazard ratio (Zhang et al., 2015).  </w:t>
      </w:r>
      <w:r w:rsidR="003C626D">
        <w:rPr>
          <w:rFonts w:ascii="Times New Roman" w:hAnsi="Times New Roman" w:cs="Times New Roman"/>
          <w:sz w:val="24"/>
          <w:szCs w:val="24"/>
        </w:rPr>
        <w:t>However, generally these models are still considered valid provided there is not a</w:t>
      </w:r>
      <w:r w:rsidR="009C2F2F">
        <w:rPr>
          <w:rFonts w:ascii="Times New Roman" w:hAnsi="Times New Roman" w:cs="Times New Roman"/>
          <w:sz w:val="24"/>
          <w:szCs w:val="24"/>
        </w:rPr>
        <w:t>n extreme</w:t>
      </w:r>
      <w:r w:rsidR="003C626D">
        <w:rPr>
          <w:rFonts w:ascii="Times New Roman" w:hAnsi="Times New Roman" w:cs="Times New Roman"/>
          <w:sz w:val="24"/>
          <w:szCs w:val="24"/>
        </w:rPr>
        <w:t xml:space="preserve"> crossing of survival curves in the Kaplan-Meier survival plots</w:t>
      </w:r>
      <w:r w:rsidR="00F820C3">
        <w:rPr>
          <w:rFonts w:ascii="Times New Roman" w:hAnsi="Times New Roman" w:cs="Times New Roman"/>
          <w:sz w:val="24"/>
          <w:szCs w:val="24"/>
        </w:rPr>
        <w:t>, which is the case in this study</w:t>
      </w:r>
      <w:r w:rsidR="004D7345">
        <w:rPr>
          <w:rFonts w:ascii="Times New Roman" w:hAnsi="Times New Roman" w:cs="Times New Roman"/>
          <w:sz w:val="24"/>
          <w:szCs w:val="24"/>
        </w:rPr>
        <w:t xml:space="preserve">.  </w:t>
      </w:r>
      <w:r>
        <w:rPr>
          <w:rFonts w:ascii="Times New Roman" w:hAnsi="Times New Roman" w:cs="Times New Roman"/>
          <w:sz w:val="24"/>
          <w:szCs w:val="24"/>
        </w:rPr>
        <w:t xml:space="preserve">Other methods have been developed that may handle time-varying covariates more appropriately, such as using the standard deviation of longitudinal measurements for </w:t>
      </w:r>
      <w:r>
        <w:rPr>
          <w:rFonts w:ascii="Times New Roman" w:hAnsi="Times New Roman" w:cs="Times New Roman"/>
          <w:sz w:val="24"/>
          <w:szCs w:val="24"/>
        </w:rPr>
        <w:lastRenderedPageBreak/>
        <w:t>example (</w:t>
      </w:r>
      <w:proofErr w:type="spellStart"/>
      <w:r>
        <w:rPr>
          <w:rFonts w:ascii="Times New Roman" w:hAnsi="Times New Roman" w:cs="Times New Roman"/>
          <w:sz w:val="24"/>
          <w:szCs w:val="24"/>
        </w:rPr>
        <w:t>Muntner</w:t>
      </w:r>
      <w:proofErr w:type="spellEnd"/>
      <w:r>
        <w:rPr>
          <w:rFonts w:ascii="Times New Roman" w:hAnsi="Times New Roman" w:cs="Times New Roman"/>
          <w:sz w:val="24"/>
          <w:szCs w:val="24"/>
        </w:rPr>
        <w:t xml:space="preserve"> et al., 2011).</w:t>
      </w:r>
      <w:r w:rsidR="00A521C9">
        <w:rPr>
          <w:rFonts w:ascii="Times New Roman" w:hAnsi="Times New Roman" w:cs="Times New Roman"/>
          <w:sz w:val="24"/>
          <w:szCs w:val="24"/>
        </w:rPr>
        <w:t xml:space="preserve">  It is also important to state that independence of censoring </w:t>
      </w:r>
      <w:proofErr w:type="gramStart"/>
      <w:r w:rsidR="00A521C9">
        <w:rPr>
          <w:rFonts w:ascii="Times New Roman" w:hAnsi="Times New Roman" w:cs="Times New Roman"/>
          <w:sz w:val="24"/>
          <w:szCs w:val="24"/>
        </w:rPr>
        <w:t>is considered to be</w:t>
      </w:r>
      <w:proofErr w:type="gramEnd"/>
      <w:r w:rsidR="00A521C9">
        <w:rPr>
          <w:rFonts w:ascii="Times New Roman" w:hAnsi="Times New Roman" w:cs="Times New Roman"/>
          <w:sz w:val="24"/>
          <w:szCs w:val="24"/>
        </w:rPr>
        <w:t xml:space="preserve"> the most important assumption in survival analysis</w:t>
      </w:r>
      <w:r w:rsidR="004D7345">
        <w:rPr>
          <w:rFonts w:ascii="Times New Roman" w:hAnsi="Times New Roman" w:cs="Times New Roman"/>
          <w:sz w:val="24"/>
          <w:szCs w:val="24"/>
        </w:rPr>
        <w:t xml:space="preserve"> </w:t>
      </w:r>
      <w:r w:rsidR="00C07D3F">
        <w:rPr>
          <w:rFonts w:ascii="Times New Roman" w:hAnsi="Times New Roman" w:cs="Times New Roman"/>
          <w:sz w:val="24"/>
          <w:szCs w:val="24"/>
        </w:rPr>
        <w:t xml:space="preserve">and </w:t>
      </w:r>
      <w:r w:rsidR="004D7345">
        <w:rPr>
          <w:rFonts w:ascii="Times New Roman" w:hAnsi="Times New Roman" w:cs="Times New Roman"/>
          <w:sz w:val="24"/>
          <w:szCs w:val="24"/>
        </w:rPr>
        <w:t>as long as this assumption is met, one can probably assume the models are useful</w:t>
      </w:r>
      <w:r w:rsidR="00A521C9">
        <w:rPr>
          <w:rFonts w:ascii="Times New Roman" w:hAnsi="Times New Roman" w:cs="Times New Roman"/>
          <w:sz w:val="24"/>
          <w:szCs w:val="24"/>
        </w:rPr>
        <w:t xml:space="preserve"> (</w:t>
      </w:r>
      <w:proofErr w:type="spellStart"/>
      <w:r w:rsidR="00A521C9">
        <w:rPr>
          <w:rFonts w:ascii="Times New Roman" w:hAnsi="Times New Roman" w:cs="Times New Roman"/>
          <w:sz w:val="24"/>
          <w:szCs w:val="24"/>
        </w:rPr>
        <w:t>Prinja</w:t>
      </w:r>
      <w:proofErr w:type="spellEnd"/>
      <w:r w:rsidR="00A521C9">
        <w:rPr>
          <w:rFonts w:ascii="Times New Roman" w:hAnsi="Times New Roman" w:cs="Times New Roman"/>
          <w:sz w:val="24"/>
          <w:szCs w:val="24"/>
        </w:rPr>
        <w:t xml:space="preserve"> et al., 2010).</w:t>
      </w:r>
    </w:p>
    <w:p w14:paraId="690E735C" w14:textId="3C5E9C5B" w:rsidR="005372C3" w:rsidRDefault="00A369B7"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xml:space="preserve">.  </w:t>
      </w:r>
      <w:r w:rsidR="001B1D54">
        <w:rPr>
          <w:rFonts w:ascii="Times New Roman" w:hAnsi="Times New Roman" w:cs="Times New Roman"/>
          <w:sz w:val="24"/>
          <w:szCs w:val="24"/>
        </w:rPr>
        <w:t xml:space="preserve">The </w:t>
      </w:r>
      <w:r w:rsidR="000D0880">
        <w:rPr>
          <w:rFonts w:ascii="Times New Roman" w:hAnsi="Times New Roman" w:cs="Times New Roman"/>
          <w:sz w:val="24"/>
          <w:szCs w:val="24"/>
        </w:rPr>
        <w:t>data</w:t>
      </w:r>
      <w:r w:rsidR="001B1D54">
        <w:rPr>
          <w:rFonts w:ascii="Times New Roman" w:hAnsi="Times New Roman" w:cs="Times New Roman"/>
          <w:sz w:val="24"/>
          <w:szCs w:val="24"/>
        </w:rPr>
        <w:t xml:space="preserve"> </w:t>
      </w:r>
      <w:r w:rsidR="007C658A">
        <w:rPr>
          <w:rFonts w:ascii="Times New Roman" w:hAnsi="Times New Roman" w:cs="Times New Roman"/>
          <w:sz w:val="24"/>
          <w:szCs w:val="24"/>
        </w:rPr>
        <w:t>mostly meets</w:t>
      </w:r>
      <w:r w:rsidR="001B1D54">
        <w:rPr>
          <w:rFonts w:ascii="Times New Roman" w:hAnsi="Times New Roman" w:cs="Times New Roman"/>
          <w:sz w:val="24"/>
          <w:szCs w:val="24"/>
        </w:rPr>
        <w:t xml:space="preserve"> Cox-proportional hazard model assumptions.  </w:t>
      </w:r>
      <w:r>
        <w:rPr>
          <w:rFonts w:ascii="Times New Roman" w:hAnsi="Times New Roman" w:cs="Times New Roman"/>
          <w:sz w:val="24"/>
          <w:szCs w:val="24"/>
        </w:rPr>
        <w:t>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2A2E2D">
        <w:rPr>
          <w:rFonts w:ascii="Times New Roman" w:hAnsi="Times New Roman" w:cs="Times New Roman"/>
          <w:sz w:val="24"/>
          <w:szCs w:val="24"/>
        </w:rPr>
        <w:t>If one multiplies 30,000 genes by 5%</w:t>
      </w:r>
      <w:r w:rsidR="000666B3">
        <w:rPr>
          <w:rFonts w:ascii="Times New Roman" w:hAnsi="Times New Roman" w:cs="Times New Roman"/>
          <w:sz w:val="24"/>
          <w:szCs w:val="24"/>
        </w:rPr>
        <w:t xml:space="preserve"> (alpha = 0.05)</w:t>
      </w:r>
      <w:r w:rsidR="002A2E2D">
        <w:rPr>
          <w:rFonts w:ascii="Times New Roman" w:hAnsi="Times New Roman" w:cs="Times New Roman"/>
          <w:sz w:val="24"/>
          <w:szCs w:val="24"/>
        </w:rPr>
        <w:t xml:space="preserve"> then 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w:t>
      </w:r>
      <w:r w:rsidR="0041077E">
        <w:rPr>
          <w:rFonts w:ascii="Times New Roman" w:hAnsi="Times New Roman" w:cs="Times New Roman"/>
          <w:sz w:val="24"/>
          <w:szCs w:val="24"/>
        </w:rPr>
        <w:t>type-I</w:t>
      </w:r>
      <w:r w:rsidR="006F701A">
        <w:rPr>
          <w:rFonts w:ascii="Times New Roman" w:hAnsi="Times New Roman" w:cs="Times New Roman"/>
          <w:sz w:val="24"/>
          <w:szCs w:val="24"/>
        </w:rPr>
        <w:t xml:space="preserve"> error </w:t>
      </w:r>
      <w:r>
        <w:rPr>
          <w:rFonts w:ascii="Times New Roman" w:hAnsi="Times New Roman" w:cs="Times New Roman"/>
          <w:sz w:val="24"/>
          <w:szCs w:val="24"/>
        </w:rPr>
        <w:t>finding that is random (Genetics Home Reference, 2019).</w:t>
      </w:r>
      <w:r w:rsidR="00A62A0E">
        <w:rPr>
          <w:rFonts w:ascii="Times New Roman" w:hAnsi="Times New Roman" w:cs="Times New Roman"/>
          <w:sz w:val="24"/>
          <w:szCs w:val="24"/>
        </w:rPr>
        <w:t xml:space="preserve">  </w:t>
      </w:r>
      <w:r w:rsidR="0041077E">
        <w:rPr>
          <w:rFonts w:ascii="Times New Roman" w:hAnsi="Times New Roman" w:cs="Times New Roman"/>
          <w:sz w:val="24"/>
          <w:szCs w:val="24"/>
        </w:rPr>
        <w:t>Type-I</w:t>
      </w:r>
      <w:r w:rsidR="00766126">
        <w:rPr>
          <w:rFonts w:ascii="Times New Roman" w:hAnsi="Times New Roman" w:cs="Times New Roman"/>
          <w:sz w:val="24"/>
          <w:szCs w:val="24"/>
        </w:rPr>
        <w:t xml:space="preserve"> error bias should be kept in mind as the primary limitation to this study.  </w:t>
      </w:r>
      <w:r w:rsidR="00A62A0E">
        <w:rPr>
          <w:rFonts w:ascii="Times New Roman" w:hAnsi="Times New Roman" w:cs="Times New Roman"/>
          <w:sz w:val="24"/>
          <w:szCs w:val="24"/>
        </w:rPr>
        <w:t>However, very few genetic studies seem to use any controls for false discovery</w:t>
      </w:r>
      <w:r w:rsidR="00F95A80">
        <w:rPr>
          <w:rFonts w:ascii="Times New Roman" w:hAnsi="Times New Roman" w:cs="Times New Roman"/>
          <w:sz w:val="24"/>
          <w:szCs w:val="24"/>
        </w:rPr>
        <w:t>, such as a Bonferroni p-value correction</w:t>
      </w:r>
      <w:r w:rsidR="00C13AC6">
        <w:rPr>
          <w:rFonts w:ascii="Times New Roman" w:hAnsi="Times New Roman" w:cs="Times New Roman"/>
          <w:sz w:val="24"/>
          <w:szCs w:val="24"/>
        </w:rPr>
        <w:t xml:space="preserve"> for </w:t>
      </w:r>
      <w:r w:rsidR="00D11752">
        <w:rPr>
          <w:rFonts w:ascii="Times New Roman" w:hAnsi="Times New Roman" w:cs="Times New Roman"/>
          <w:sz w:val="24"/>
          <w:szCs w:val="24"/>
        </w:rPr>
        <w:t>example and</w:t>
      </w:r>
      <w:r w:rsidR="00A62A0E">
        <w:rPr>
          <w:rFonts w:ascii="Times New Roman" w:hAnsi="Times New Roman" w:cs="Times New Roman"/>
          <w:sz w:val="24"/>
          <w:szCs w:val="24"/>
        </w:rPr>
        <w:t xml:space="preserve"> </w:t>
      </w:r>
      <w:r w:rsidR="0067730C">
        <w:rPr>
          <w:rFonts w:ascii="Times New Roman" w:hAnsi="Times New Roman" w:cs="Times New Roman"/>
          <w:sz w:val="24"/>
          <w:szCs w:val="24"/>
        </w:rPr>
        <w:t xml:space="preserve">this is </w:t>
      </w:r>
      <w:r w:rsidR="004475D4">
        <w:rPr>
          <w:rFonts w:ascii="Times New Roman" w:hAnsi="Times New Roman" w:cs="Times New Roman"/>
          <w:sz w:val="24"/>
          <w:szCs w:val="24"/>
        </w:rPr>
        <w:t>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w:t>
      </w:r>
      <w:r w:rsidR="00FE1E26">
        <w:rPr>
          <w:rFonts w:ascii="Times New Roman" w:hAnsi="Times New Roman" w:cs="Times New Roman"/>
          <w:sz w:val="24"/>
          <w:szCs w:val="24"/>
        </w:rPr>
        <w:t>The Bonferroni p-value correction is defined as dividing alpha by some factor in the study</w:t>
      </w:r>
      <w:r w:rsidR="00362FCE">
        <w:rPr>
          <w:rFonts w:ascii="Times New Roman" w:hAnsi="Times New Roman" w:cs="Times New Roman"/>
          <w:sz w:val="24"/>
          <w:szCs w:val="24"/>
        </w:rPr>
        <w:t xml:space="preserve"> (Bonferroni, 1936)</w:t>
      </w:r>
      <w:r w:rsidR="00FE1E26">
        <w:rPr>
          <w:rFonts w:ascii="Times New Roman" w:hAnsi="Times New Roman" w:cs="Times New Roman"/>
          <w:sz w:val="24"/>
          <w:szCs w:val="24"/>
        </w:rPr>
        <w:t>.  In this study, 30,000 genes could be used which would give a p-value threshold of 0.0000016 which can be quite difficult to meet considering the small amount of data found in genetic databases.  Another factor that could be used are the 55 collagen genes which still leaves a difficult p-value threshold of 0.0009.  This would greatly detract from the power of the study.</w:t>
      </w:r>
      <w:r w:rsidR="00920039">
        <w:rPr>
          <w:rFonts w:ascii="Times New Roman" w:hAnsi="Times New Roman" w:cs="Times New Roman"/>
          <w:sz w:val="24"/>
          <w:szCs w:val="24"/>
        </w:rPr>
        <w:t xml:space="preserve">  </w:t>
      </w:r>
      <w:r w:rsidR="003B2D33">
        <w:rPr>
          <w:rFonts w:ascii="Times New Roman" w:hAnsi="Times New Roman" w:cs="Times New Roman"/>
          <w:sz w:val="24"/>
          <w:szCs w:val="24"/>
        </w:rPr>
        <w:t>The Bonferroni correction, while quite popular, may not be a valid method to use in complex or complicated situations such as rare interactions or low-frequency events which can be found in genetic research</w:t>
      </w:r>
      <w:r w:rsidR="00412876">
        <w:rPr>
          <w:rFonts w:ascii="Times New Roman" w:hAnsi="Times New Roman" w:cs="Times New Roman"/>
          <w:sz w:val="24"/>
          <w:szCs w:val="24"/>
        </w:rPr>
        <w:t xml:space="preserve">. </w:t>
      </w:r>
      <w:r w:rsidR="003B2D33">
        <w:rPr>
          <w:rFonts w:ascii="Times New Roman" w:hAnsi="Times New Roman" w:cs="Times New Roman"/>
          <w:sz w:val="24"/>
          <w:szCs w:val="24"/>
        </w:rPr>
        <w:t xml:space="preserve"> </w:t>
      </w:r>
      <w:r w:rsidR="00412876">
        <w:rPr>
          <w:rFonts w:ascii="Times New Roman" w:hAnsi="Times New Roman" w:cs="Times New Roman"/>
          <w:sz w:val="24"/>
          <w:szCs w:val="24"/>
        </w:rPr>
        <w:t xml:space="preserve">To remedy this, there are researchers trying to develop more robust by decreasing </w:t>
      </w:r>
      <w:r w:rsidR="0041077E">
        <w:rPr>
          <w:rFonts w:ascii="Times New Roman" w:hAnsi="Times New Roman" w:cs="Times New Roman"/>
          <w:sz w:val="24"/>
          <w:szCs w:val="24"/>
        </w:rPr>
        <w:t>type-I</w:t>
      </w:r>
      <w:r w:rsidR="00412876">
        <w:rPr>
          <w:rFonts w:ascii="Times New Roman" w:hAnsi="Times New Roman" w:cs="Times New Roman"/>
          <w:sz w:val="24"/>
          <w:szCs w:val="24"/>
        </w:rPr>
        <w:t xml:space="preserve"> error bias while not decreasing the study power (Yi et al., 2014).</w:t>
      </w:r>
    </w:p>
    <w:p w14:paraId="15A46AAC" w14:textId="4B423301" w:rsidR="00FF6570" w:rsidRDefault="00FF6570"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is a sample selection bias to take into account, which has been documented in TCGA literature</w:t>
      </w:r>
      <w:r w:rsidR="0055300A">
        <w:rPr>
          <w:rFonts w:ascii="Times New Roman" w:hAnsi="Times New Roman" w:cs="Times New Roman"/>
          <w:sz w:val="24"/>
          <w:szCs w:val="24"/>
        </w:rPr>
        <w:t xml:space="preserve"> (Solomon et al., 2008)</w:t>
      </w:r>
      <w:r>
        <w:rPr>
          <w:rFonts w:ascii="Times New Roman" w:hAnsi="Times New Roman" w:cs="Times New Roman"/>
          <w:sz w:val="24"/>
          <w:szCs w:val="24"/>
        </w:rPr>
        <w:t>.</w:t>
      </w:r>
      <w:r w:rsidR="00675B35">
        <w:rPr>
          <w:rFonts w:ascii="Times New Roman" w:hAnsi="Times New Roman" w:cs="Times New Roman"/>
          <w:sz w:val="24"/>
          <w:szCs w:val="24"/>
        </w:rPr>
        <w:t xml:space="preserve">  TCGA has this bias because TCGA collects only quality samples of tumors or tissues for sequencing.  </w:t>
      </w:r>
      <w:r w:rsidR="0041077E">
        <w:rPr>
          <w:rFonts w:ascii="Times New Roman" w:hAnsi="Times New Roman" w:cs="Times New Roman"/>
          <w:sz w:val="24"/>
          <w:szCs w:val="24"/>
        </w:rPr>
        <w:t>I</w:t>
      </w:r>
      <w:r w:rsidR="00675B35">
        <w:rPr>
          <w:rFonts w:ascii="Times New Roman" w:hAnsi="Times New Roman" w:cs="Times New Roman"/>
          <w:sz w:val="24"/>
          <w:szCs w:val="24"/>
        </w:rPr>
        <w:t>t has been recommended that TCGA select multiple quality tumors or tissues for analysis.</w:t>
      </w:r>
      <w:r w:rsidR="0041077E">
        <w:rPr>
          <w:rFonts w:ascii="Times New Roman" w:hAnsi="Times New Roman" w:cs="Times New Roman"/>
          <w:sz w:val="24"/>
          <w:szCs w:val="24"/>
        </w:rPr>
        <w:t xml:space="preserve">  However, I disagree with this analysis from the literature.  Samples need to be readable during sequencing and having high quality samples means less errors during sequencing and less type-I error bias.</w:t>
      </w:r>
    </w:p>
    <w:p w14:paraId="2F4B9C51" w14:textId="0764A179" w:rsidR="003B29E5" w:rsidRDefault="003B29E5"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also a sample bias in this study where most of the population were Caucasian women.  There were very few African American</w:t>
      </w:r>
      <w:r w:rsidR="002F243B">
        <w:rPr>
          <w:rFonts w:ascii="Times New Roman" w:hAnsi="Times New Roman" w:cs="Times New Roman"/>
          <w:sz w:val="24"/>
          <w:szCs w:val="24"/>
        </w:rPr>
        <w:t>,</w:t>
      </w:r>
      <w:r>
        <w:rPr>
          <w:rFonts w:ascii="Times New Roman" w:hAnsi="Times New Roman" w:cs="Times New Roman"/>
          <w:sz w:val="24"/>
          <w:szCs w:val="24"/>
        </w:rPr>
        <w:t xml:space="preserve"> </w:t>
      </w:r>
      <w:r w:rsidR="00405182">
        <w:rPr>
          <w:rFonts w:ascii="Times New Roman" w:hAnsi="Times New Roman" w:cs="Times New Roman"/>
          <w:sz w:val="24"/>
          <w:szCs w:val="24"/>
        </w:rPr>
        <w:t>P</w:t>
      </w:r>
      <w:r>
        <w:rPr>
          <w:rFonts w:ascii="Times New Roman" w:hAnsi="Times New Roman" w:cs="Times New Roman"/>
          <w:sz w:val="24"/>
          <w:szCs w:val="24"/>
        </w:rPr>
        <w:t xml:space="preserve">acific </w:t>
      </w:r>
      <w:r w:rsidR="00405182">
        <w:rPr>
          <w:rFonts w:ascii="Times New Roman" w:hAnsi="Times New Roman" w:cs="Times New Roman"/>
          <w:sz w:val="24"/>
          <w:szCs w:val="24"/>
        </w:rPr>
        <w:t>I</w:t>
      </w:r>
      <w:r>
        <w:rPr>
          <w:rFonts w:ascii="Times New Roman" w:hAnsi="Times New Roman" w:cs="Times New Roman"/>
          <w:sz w:val="24"/>
          <w:szCs w:val="24"/>
        </w:rPr>
        <w:t>slander</w:t>
      </w:r>
      <w:r w:rsidR="002F243B">
        <w:rPr>
          <w:rFonts w:ascii="Times New Roman" w:hAnsi="Times New Roman" w:cs="Times New Roman"/>
          <w:sz w:val="24"/>
          <w:szCs w:val="24"/>
        </w:rPr>
        <w:t xml:space="preserve">, or Asian women in the </w:t>
      </w:r>
      <w:r w:rsidR="0012658E">
        <w:rPr>
          <w:rFonts w:ascii="Times New Roman" w:hAnsi="Times New Roman" w:cs="Times New Roman"/>
          <w:sz w:val="24"/>
          <w:szCs w:val="24"/>
        </w:rPr>
        <w:t xml:space="preserve">study </w:t>
      </w:r>
      <w:r w:rsidR="002F243B">
        <w:rPr>
          <w:rFonts w:ascii="Times New Roman" w:hAnsi="Times New Roman" w:cs="Times New Roman"/>
          <w:sz w:val="24"/>
          <w:szCs w:val="24"/>
        </w:rPr>
        <w:t xml:space="preserve">population.  </w:t>
      </w:r>
      <w:r w:rsidR="00F97511">
        <w:rPr>
          <w:rFonts w:ascii="Times New Roman" w:hAnsi="Times New Roman" w:cs="Times New Roman"/>
          <w:sz w:val="24"/>
          <w:szCs w:val="24"/>
        </w:rPr>
        <w:t xml:space="preserve">This may also be due to minority groups having a lack of access to healthcare or </w:t>
      </w:r>
      <w:r w:rsidR="00521FC2">
        <w:rPr>
          <w:rFonts w:ascii="Times New Roman" w:hAnsi="Times New Roman" w:cs="Times New Roman"/>
          <w:sz w:val="24"/>
          <w:szCs w:val="24"/>
        </w:rPr>
        <w:t>socioeconomic reasons</w:t>
      </w:r>
      <w:r w:rsidR="00F97511">
        <w:rPr>
          <w:rFonts w:ascii="Times New Roman" w:hAnsi="Times New Roman" w:cs="Times New Roman"/>
          <w:sz w:val="24"/>
          <w:szCs w:val="24"/>
        </w:rPr>
        <w:t xml:space="preserve">.  </w:t>
      </w:r>
      <w:r w:rsidR="002F243B">
        <w:rPr>
          <w:rFonts w:ascii="Times New Roman" w:hAnsi="Times New Roman" w:cs="Times New Roman"/>
          <w:sz w:val="24"/>
          <w:szCs w:val="24"/>
        </w:rPr>
        <w:t>Therefore, it is difficult to extrapolate these results out to the general population.</w:t>
      </w:r>
    </w:p>
    <w:p w14:paraId="6CD5911E" w14:textId="73E07F74" w:rsidR="00B947EC" w:rsidRDefault="00B947EC"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Obtaining genetic data is quite difficult and expensive as the cost of TCGA as of 2015 is $375 </w:t>
      </w:r>
      <w:r w:rsidRPr="006801C0">
        <w:rPr>
          <w:rFonts w:ascii="Times New Roman" w:hAnsi="Times New Roman" w:cs="Times New Roman"/>
          <w:sz w:val="24"/>
          <w:szCs w:val="24"/>
        </w:rPr>
        <w:t>million</w:t>
      </w:r>
      <w:r>
        <w:rPr>
          <w:rFonts w:ascii="Times New Roman" w:hAnsi="Times New Roman" w:cs="Times New Roman"/>
          <w:color w:val="FF0000"/>
          <w:sz w:val="24"/>
          <w:szCs w:val="24"/>
        </w:rPr>
        <w:t xml:space="preserve"> </w:t>
      </w:r>
      <w:r w:rsidRPr="00211DE1">
        <w:rPr>
          <w:rFonts w:ascii="Times New Roman" w:hAnsi="Times New Roman" w:cs="Times New Roman"/>
          <w:sz w:val="24"/>
          <w:szCs w:val="24"/>
        </w:rPr>
        <w:t xml:space="preserve">(“The Future of Cancer Genomics”, 2015).  </w:t>
      </w:r>
      <w:r>
        <w:rPr>
          <w:rFonts w:ascii="Times New Roman" w:hAnsi="Times New Roman" w:cs="Times New Roman"/>
          <w:sz w:val="24"/>
          <w:szCs w:val="24"/>
        </w:rPr>
        <w:t>Although gene sequencing is becoming cheaper and more accurate, a strong argument can be made for keeping alpha at 0.05 with confidence intervals and not strongly controlling for false discovery (Ulrich, 2016).</w:t>
      </w:r>
      <w:r w:rsidR="00364E21">
        <w:rPr>
          <w:rFonts w:ascii="Times New Roman" w:hAnsi="Times New Roman" w:cs="Times New Roman"/>
          <w:sz w:val="24"/>
          <w:szCs w:val="24"/>
        </w:rPr>
        <w:t xml:space="preserve">  There are few genetic databases, and many are proprietary.</w:t>
      </w:r>
    </w:p>
    <w:p w14:paraId="3464EF3F" w14:textId="0C62BE96" w:rsidR="008A1F27" w:rsidRDefault="008A1F27" w:rsidP="008A1F27">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other methods of survival analysis which may contribute to controlling for </w:t>
      </w:r>
      <w:r w:rsidR="0041077E">
        <w:rPr>
          <w:rFonts w:ascii="Times New Roman" w:hAnsi="Times New Roman" w:cs="Times New Roman"/>
          <w:sz w:val="24"/>
          <w:szCs w:val="24"/>
        </w:rPr>
        <w:t>type-I</w:t>
      </w:r>
      <w:r>
        <w:rPr>
          <w:rFonts w:ascii="Times New Roman" w:hAnsi="Times New Roman" w:cs="Times New Roman"/>
          <w:sz w:val="24"/>
          <w:szCs w:val="24"/>
        </w:rPr>
        <w:t xml:space="preserve"> error.  Bayesian survival analysis</w:t>
      </w:r>
      <w:r w:rsidR="007E5758">
        <w:rPr>
          <w:rFonts w:ascii="Times New Roman" w:hAnsi="Times New Roman" w:cs="Times New Roman"/>
          <w:sz w:val="24"/>
          <w:szCs w:val="24"/>
        </w:rPr>
        <w:t xml:space="preserve"> (BSA)</w:t>
      </w:r>
      <w:r>
        <w:rPr>
          <w:rFonts w:ascii="Times New Roman" w:hAnsi="Times New Roman" w:cs="Times New Roman"/>
          <w:sz w:val="24"/>
          <w:szCs w:val="24"/>
        </w:rPr>
        <w:t xml:space="preserve"> has been mentioned</w:t>
      </w:r>
      <w:r w:rsidR="00E455BD">
        <w:rPr>
          <w:rFonts w:ascii="Times New Roman" w:hAnsi="Times New Roman" w:cs="Times New Roman"/>
          <w:sz w:val="24"/>
          <w:szCs w:val="24"/>
        </w:rPr>
        <w:t xml:space="preserve"> as a potential model</w:t>
      </w:r>
      <w:r>
        <w:rPr>
          <w:rFonts w:ascii="Times New Roman" w:hAnsi="Times New Roman" w:cs="Times New Roman"/>
          <w:sz w:val="24"/>
          <w:szCs w:val="24"/>
        </w:rPr>
        <w:t xml:space="preserve"> and has been found to control for </w:t>
      </w:r>
      <w:r w:rsidR="0041077E">
        <w:rPr>
          <w:rFonts w:ascii="Times New Roman" w:hAnsi="Times New Roman" w:cs="Times New Roman"/>
          <w:sz w:val="24"/>
          <w:szCs w:val="24"/>
        </w:rPr>
        <w:t>type-I</w:t>
      </w:r>
      <w:r>
        <w:rPr>
          <w:rFonts w:ascii="Times New Roman" w:hAnsi="Times New Roman" w:cs="Times New Roman"/>
          <w:sz w:val="24"/>
          <w:szCs w:val="24"/>
        </w:rPr>
        <w:t xml:space="preserve"> error more than frequentist survival analysis but has increased </w:t>
      </w:r>
      <w:r w:rsidR="0041077E">
        <w:rPr>
          <w:rFonts w:ascii="Times New Roman" w:hAnsi="Times New Roman" w:cs="Times New Roman"/>
          <w:sz w:val="24"/>
          <w:szCs w:val="24"/>
        </w:rPr>
        <w:t>type-II</w:t>
      </w:r>
      <w:r>
        <w:rPr>
          <w:rFonts w:ascii="Times New Roman" w:hAnsi="Times New Roman" w:cs="Times New Roman"/>
          <w:sz w:val="24"/>
          <w:szCs w:val="24"/>
        </w:rPr>
        <w:t xml:space="preserve"> error bias (Kelter, 2020).</w:t>
      </w:r>
      <w:r w:rsidR="007E5758">
        <w:rPr>
          <w:rFonts w:ascii="Times New Roman" w:hAnsi="Times New Roman" w:cs="Times New Roman"/>
          <w:sz w:val="24"/>
          <w:szCs w:val="24"/>
        </w:rPr>
        <w:t xml:space="preserve">  It should also be noted that while BSA may be less prone to </w:t>
      </w:r>
      <w:r w:rsidR="0041077E">
        <w:rPr>
          <w:rFonts w:ascii="Times New Roman" w:hAnsi="Times New Roman" w:cs="Times New Roman"/>
          <w:sz w:val="24"/>
          <w:szCs w:val="24"/>
        </w:rPr>
        <w:t>type-I</w:t>
      </w:r>
      <w:r w:rsidR="007E5758">
        <w:rPr>
          <w:rFonts w:ascii="Times New Roman" w:hAnsi="Times New Roman" w:cs="Times New Roman"/>
          <w:sz w:val="24"/>
          <w:szCs w:val="24"/>
        </w:rPr>
        <w:t xml:space="preserve"> error bias it generally </w:t>
      </w:r>
      <w:r w:rsidR="009B3F6D">
        <w:rPr>
          <w:rFonts w:ascii="Times New Roman" w:hAnsi="Times New Roman" w:cs="Times New Roman"/>
          <w:sz w:val="24"/>
          <w:szCs w:val="24"/>
        </w:rPr>
        <w:t>re</w:t>
      </w:r>
      <w:r w:rsidR="007E5758">
        <w:rPr>
          <w:rFonts w:ascii="Times New Roman" w:hAnsi="Times New Roman" w:cs="Times New Roman"/>
          <w:sz w:val="24"/>
          <w:szCs w:val="24"/>
        </w:rPr>
        <w:t xml:space="preserve">quires subjective data analysis and expert knowledge of parameters </w:t>
      </w:r>
      <w:r w:rsidR="00A01A18">
        <w:rPr>
          <w:rFonts w:ascii="Times New Roman" w:hAnsi="Times New Roman" w:cs="Times New Roman"/>
          <w:sz w:val="24"/>
          <w:szCs w:val="24"/>
        </w:rPr>
        <w:t xml:space="preserve">and potential prior estimation </w:t>
      </w:r>
      <w:r w:rsidR="007E5758">
        <w:rPr>
          <w:rFonts w:ascii="Times New Roman" w:hAnsi="Times New Roman" w:cs="Times New Roman"/>
          <w:sz w:val="24"/>
          <w:szCs w:val="24"/>
        </w:rPr>
        <w:t>to perform as well as frequentist survival analysis (</w:t>
      </w:r>
      <w:proofErr w:type="spellStart"/>
      <w:r w:rsidR="007E5758">
        <w:rPr>
          <w:rFonts w:ascii="Times New Roman" w:hAnsi="Times New Roman" w:cs="Times New Roman"/>
          <w:sz w:val="24"/>
          <w:szCs w:val="24"/>
        </w:rPr>
        <w:t>Omurlu</w:t>
      </w:r>
      <w:proofErr w:type="spellEnd"/>
      <w:r w:rsidR="007E5758">
        <w:rPr>
          <w:rFonts w:ascii="Times New Roman" w:hAnsi="Times New Roman" w:cs="Times New Roman"/>
          <w:sz w:val="24"/>
          <w:szCs w:val="24"/>
        </w:rPr>
        <w:t xml:space="preserve"> et al., 2009).</w:t>
      </w:r>
    </w:p>
    <w:p w14:paraId="48D5F613" w14:textId="5983216A" w:rsidR="00B47B6E" w:rsidRDefault="006A665A" w:rsidP="005401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Other methods were applied as well to help control for </w:t>
      </w:r>
      <w:r w:rsidR="0041077E">
        <w:rPr>
          <w:rFonts w:ascii="Times New Roman" w:hAnsi="Times New Roman" w:cs="Times New Roman"/>
          <w:sz w:val="24"/>
          <w:szCs w:val="24"/>
        </w:rPr>
        <w:t>type-I</w:t>
      </w:r>
      <w:r>
        <w:rPr>
          <w:rFonts w:ascii="Times New Roman" w:hAnsi="Times New Roman" w:cs="Times New Roman"/>
          <w:sz w:val="24"/>
          <w:szCs w:val="24"/>
        </w:rPr>
        <w:t xml:space="preserve"> errors such as the log-rank test being used over the Wilcoxon test and the Breslow method </w:t>
      </w:r>
      <w:r w:rsidR="00F87447">
        <w:rPr>
          <w:rFonts w:ascii="Times New Roman" w:hAnsi="Times New Roman" w:cs="Times New Roman"/>
          <w:sz w:val="24"/>
          <w:szCs w:val="24"/>
        </w:rPr>
        <w:t xml:space="preserve">used in place of the </w:t>
      </w:r>
      <w:proofErr w:type="spellStart"/>
      <w:r w:rsidR="00F87447">
        <w:rPr>
          <w:rFonts w:ascii="Times New Roman" w:hAnsi="Times New Roman" w:cs="Times New Roman"/>
          <w:sz w:val="24"/>
          <w:szCs w:val="24"/>
        </w:rPr>
        <w:t>Efron</w:t>
      </w:r>
      <w:proofErr w:type="spellEnd"/>
      <w:r w:rsidR="00F87447">
        <w:rPr>
          <w:rFonts w:ascii="Times New Roman" w:hAnsi="Times New Roman" w:cs="Times New Roman"/>
          <w:sz w:val="24"/>
          <w:szCs w:val="24"/>
        </w:rPr>
        <w:t xml:space="preserve"> method in</w:t>
      </w:r>
      <w:r>
        <w:rPr>
          <w:rFonts w:ascii="Times New Roman" w:hAnsi="Times New Roman" w:cs="Times New Roman"/>
          <w:sz w:val="24"/>
          <w:szCs w:val="24"/>
        </w:rPr>
        <w:t xml:space="preserve"> the Cox-proportional hazard</w:t>
      </w:r>
      <w:r w:rsidR="004C0440">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C229B3">
        <w:rPr>
          <w:rFonts w:ascii="Times New Roman" w:hAnsi="Times New Roman" w:cs="Times New Roman"/>
          <w:sz w:val="24"/>
          <w:szCs w:val="24"/>
        </w:rPr>
        <w:t xml:space="preserve">The Wilcoxon test is generally used when the assumptions of the Cox-proportional hazard models are violated (Martinez, 2007).  Otherwise, it is considered the standard to use the log-rank test in survival analysis.  </w:t>
      </w:r>
      <w:r w:rsidR="00E405A6">
        <w:rPr>
          <w:rFonts w:ascii="Times New Roman" w:hAnsi="Times New Roman" w:cs="Times New Roman"/>
          <w:sz w:val="24"/>
          <w:szCs w:val="24"/>
        </w:rPr>
        <w:t>Another method for selecting the log-rank test over the Wilcoxon test is that the Wilcoxon test is generally more sensitive to differences early in the survival curve, or rather on the left side of the curve where the time value is lower or early.  The log-rank test tends to be more sensitive later in time.  This study didn’t have differences early in time</w:t>
      </w:r>
      <w:r w:rsidR="00D94812">
        <w:rPr>
          <w:rFonts w:ascii="Times New Roman" w:hAnsi="Times New Roman" w:cs="Times New Roman"/>
          <w:sz w:val="24"/>
          <w:szCs w:val="24"/>
        </w:rPr>
        <w:t xml:space="preserve"> except for the COL4A3BP gene</w:t>
      </w:r>
      <w:r w:rsidR="00E405A6">
        <w:rPr>
          <w:rFonts w:ascii="Times New Roman" w:hAnsi="Times New Roman" w:cs="Times New Roman"/>
          <w:sz w:val="24"/>
          <w:szCs w:val="24"/>
        </w:rPr>
        <w:t xml:space="preserve"> and thus, the log-rank is the better test to use.</w:t>
      </w:r>
    </w:p>
    <w:p w14:paraId="3414B415" w14:textId="0011DA34"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w:t>
      </w:r>
      <w:r w:rsidR="006030F8">
        <w:rPr>
          <w:rFonts w:ascii="Times New Roman" w:hAnsi="Times New Roman" w:cs="Times New Roman"/>
          <w:sz w:val="24"/>
          <w:szCs w:val="24"/>
        </w:rPr>
        <w:t>Generally, o</w:t>
      </w:r>
      <w:r w:rsidR="006555C3">
        <w:rPr>
          <w:rFonts w:ascii="Times New Roman" w:hAnsi="Times New Roman" w:cs="Times New Roman"/>
          <w:sz w:val="24"/>
          <w:szCs w:val="24"/>
        </w:rPr>
        <w:t xml:space="preserve">ne would not randomly pick a set of genes to investigate where the gene is not expressed in the tissue being studied.  </w:t>
      </w:r>
      <w:r w:rsidR="006030F8">
        <w:rPr>
          <w:rFonts w:ascii="Times New Roman" w:hAnsi="Times New Roman" w:cs="Times New Roman"/>
          <w:sz w:val="24"/>
          <w:szCs w:val="24"/>
        </w:rPr>
        <w:t>This</w:t>
      </w:r>
      <w:r w:rsidR="006555C3">
        <w:rPr>
          <w:rFonts w:ascii="Times New Roman" w:hAnsi="Times New Roman" w:cs="Times New Roman"/>
          <w:sz w:val="24"/>
          <w:szCs w:val="24"/>
        </w:rPr>
        <w:t xml:space="preserve"> strengthens the argument for using alpha at 0.05</w:t>
      </w:r>
      <w:r w:rsidR="00566C26">
        <w:rPr>
          <w:rFonts w:ascii="Times New Roman" w:hAnsi="Times New Roman" w:cs="Times New Roman"/>
          <w:sz w:val="24"/>
          <w:szCs w:val="24"/>
        </w:rPr>
        <w:t>.</w:t>
      </w:r>
    </w:p>
    <w:p w14:paraId="0CE65A10" w14:textId="5740061A"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sidR="003C178D">
        <w:rPr>
          <w:rFonts w:ascii="Times New Roman" w:hAnsi="Times New Roman" w:cs="Times New Roman"/>
          <w:sz w:val="24"/>
          <w:szCs w:val="24"/>
        </w:rPr>
        <w:t xml:space="preserve">CNV detection is due to read coverage of the genome and relies on multiple variables which include </w:t>
      </w:r>
      <w:proofErr w:type="spellStart"/>
      <w:r w:rsidR="003C178D">
        <w:rPr>
          <w:rFonts w:ascii="Times New Roman" w:hAnsi="Times New Roman" w:cs="Times New Roman"/>
          <w:sz w:val="24"/>
          <w:szCs w:val="24"/>
        </w:rPr>
        <w:t>mappability</w:t>
      </w:r>
      <w:proofErr w:type="spellEnd"/>
      <w:r w:rsidR="003C178D">
        <w:rPr>
          <w:rFonts w:ascii="Times New Roman" w:hAnsi="Times New Roman" w:cs="Times New Roman"/>
          <w:sz w:val="24"/>
          <w:szCs w:val="24"/>
        </w:rPr>
        <w:t xml:space="preserve">, local characteristics of gene sequence, and having CNV itself (Sims et al., 2014).  An increase in observations would be appropriate to help control for this as well as appropriate normalization of data.  </w:t>
      </w:r>
      <w:r>
        <w:rPr>
          <w:rFonts w:ascii="Times New Roman" w:hAnsi="Times New Roman" w:cs="Times New Roman"/>
          <w:sz w:val="24"/>
          <w:szCs w:val="24"/>
        </w:rPr>
        <w:t xml:space="preserve">It is also possible that a combination of TCGA repository and future cancer databases could be utilized </w:t>
      </w:r>
      <w:r w:rsidR="008C6266">
        <w:rPr>
          <w:rFonts w:ascii="Times New Roman" w:hAnsi="Times New Roman" w:cs="Times New Roman"/>
          <w:sz w:val="24"/>
          <w:szCs w:val="24"/>
        </w:rPr>
        <w:t>in combination</w:t>
      </w:r>
      <w:r>
        <w:rPr>
          <w:rFonts w:ascii="Times New Roman" w:hAnsi="Times New Roman" w:cs="Times New Roman"/>
          <w:sz w:val="24"/>
          <w:szCs w:val="24"/>
        </w:rPr>
        <w:t xml:space="preserve">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w:t>
      </w:r>
      <w:r w:rsidR="00E85BC2">
        <w:rPr>
          <w:rFonts w:ascii="Times New Roman" w:hAnsi="Times New Roman" w:cs="Times New Roman"/>
          <w:sz w:val="24"/>
          <w:szCs w:val="24"/>
        </w:rPr>
        <w:lastRenderedPageBreak/>
        <w:t>has been combined with the TCGA</w:t>
      </w:r>
      <w:r>
        <w:rPr>
          <w:rFonts w:ascii="Times New Roman" w:hAnsi="Times New Roman" w:cs="Times New Roman"/>
          <w:sz w:val="24"/>
          <w:szCs w:val="24"/>
        </w:rPr>
        <w:t xml:space="preserve"> </w:t>
      </w:r>
      <w:r w:rsidR="003B134B">
        <w:rPr>
          <w:rFonts w:ascii="Times New Roman" w:hAnsi="Times New Roman" w:cs="Times New Roman"/>
          <w:sz w:val="24"/>
          <w:szCs w:val="24"/>
        </w:rPr>
        <w:t>as of 2018</w:t>
      </w:r>
      <w:r w:rsidR="00420133">
        <w:rPr>
          <w:rFonts w:ascii="Times New Roman" w:hAnsi="Times New Roman" w:cs="Times New Roman"/>
          <w:sz w:val="24"/>
          <w:szCs w:val="24"/>
        </w:rPr>
        <w:t xml:space="preserve">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w:t>
      </w:r>
      <w:r w:rsidR="00632163">
        <w:rPr>
          <w:rFonts w:ascii="Times New Roman" w:hAnsi="Times New Roman" w:cs="Times New Roman"/>
          <w:sz w:val="24"/>
          <w:szCs w:val="24"/>
        </w:rPr>
        <w:t>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w:t>
      </w:r>
      <w:r w:rsidR="00D7398C">
        <w:rPr>
          <w:rFonts w:ascii="Times New Roman" w:hAnsi="Times New Roman" w:cs="Times New Roman"/>
          <w:sz w:val="24"/>
          <w:szCs w:val="24"/>
        </w:rPr>
        <w:t xml:space="preserve"> </w:t>
      </w:r>
      <w:r>
        <w:rPr>
          <w:rFonts w:ascii="Times New Roman" w:hAnsi="Times New Roman" w:cs="Times New Roman"/>
          <w:sz w:val="24"/>
          <w:szCs w:val="24"/>
        </w:rPr>
        <w:t>effects on neoplasms.</w:t>
      </w:r>
    </w:p>
    <w:p w14:paraId="2E1FA556" w14:textId="77777777" w:rsidR="00A90370" w:rsidRDefault="00A90370" w:rsidP="00A90370">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While objectivity is a strong goal to maintain in any study and can be difficult to achieve, finding appropriate data in genetics is also difficult, and for this reason, I argue that using a 95% confidence interval is acceptable, stipulating that said research is further explored or reproduced with other genetic data and statistical methods are applied appropriately.</w:t>
      </w:r>
    </w:p>
    <w:p w14:paraId="70DA60A0" w14:textId="076F5911" w:rsidR="00BB7B77" w:rsidRDefault="00BB7B77" w:rsidP="00BB7B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evolutionary artifacts in the TCGA germline based on natural selection, future CNV research should possibly be performed on a new cancer repository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EC3A1A">
        <w:rPr>
          <w:rFonts w:ascii="Times New Roman" w:hAnsi="Times New Roman" w:cs="Times New Roman"/>
          <w:sz w:val="24"/>
          <w:szCs w:val="24"/>
        </w:rPr>
        <w:t xml:space="preserve">Evolutionary artifacts are characterized as when X and Y chromosomes share a common evolutionary source with high resemblance.  </w:t>
      </w:r>
      <w:r w:rsidR="005963D1">
        <w:rPr>
          <w:rFonts w:ascii="Times New Roman" w:hAnsi="Times New Roman" w:cs="Times New Roman"/>
          <w:sz w:val="24"/>
          <w:szCs w:val="24"/>
        </w:rPr>
        <w:t>Pseudogenes can be considered a type of evolutionary artifact and are defined as a DNA sequence that resembles a gene but is inactive as it has mutated over time, generally due to evolution</w:t>
      </w:r>
      <w:r w:rsidR="00E36283">
        <w:rPr>
          <w:rFonts w:ascii="Times New Roman" w:hAnsi="Times New Roman" w:cs="Times New Roman"/>
          <w:sz w:val="24"/>
          <w:szCs w:val="24"/>
        </w:rPr>
        <w:t xml:space="preserve"> (Ostrander, n.d.)</w:t>
      </w:r>
      <w:r w:rsidR="005963D1">
        <w:rPr>
          <w:rFonts w:ascii="Times New Roman" w:hAnsi="Times New Roman" w:cs="Times New Roman"/>
          <w:sz w:val="24"/>
          <w:szCs w:val="24"/>
        </w:rPr>
        <w:t xml:space="preserve">.  </w:t>
      </w:r>
      <w:r>
        <w:rPr>
          <w:rFonts w:ascii="Times New Roman" w:hAnsi="Times New Roman" w:cs="Times New Roman"/>
          <w:sz w:val="24"/>
          <w:szCs w:val="24"/>
        </w:rPr>
        <w:t>It is most likely that the evolutionary artifacts and pseudogenes have not introduced much bias into this study</w:t>
      </w:r>
      <w:r w:rsidR="005963D1">
        <w:rPr>
          <w:rFonts w:ascii="Times New Roman" w:hAnsi="Times New Roman" w:cs="Times New Roman"/>
          <w:sz w:val="24"/>
          <w:szCs w:val="24"/>
        </w:rPr>
        <w:t xml:space="preserve"> as they are generally controlled for</w:t>
      </w:r>
      <w:r w:rsidR="00512A92">
        <w:rPr>
          <w:rFonts w:ascii="Times New Roman" w:hAnsi="Times New Roman" w:cs="Times New Roman"/>
          <w:sz w:val="24"/>
          <w:szCs w:val="24"/>
        </w:rPr>
        <w:t>, identified, and researched during</w:t>
      </w:r>
      <w:r w:rsidR="005963D1">
        <w:rPr>
          <w:rFonts w:ascii="Times New Roman" w:hAnsi="Times New Roman" w:cs="Times New Roman"/>
          <w:sz w:val="24"/>
          <w:szCs w:val="24"/>
        </w:rPr>
        <w:t xml:space="preserve"> sequencing</w:t>
      </w:r>
      <w:r>
        <w:rPr>
          <w:rFonts w:ascii="Times New Roman" w:hAnsi="Times New Roman" w:cs="Times New Roman"/>
          <w:sz w:val="24"/>
          <w:szCs w:val="24"/>
        </w:rPr>
        <w:t>.  However, one should be aware that they exist and that they are not able to be controlled for in this research</w:t>
      </w:r>
      <w:r w:rsidR="007C0AE3">
        <w:rPr>
          <w:rFonts w:ascii="Times New Roman" w:hAnsi="Times New Roman" w:cs="Times New Roman"/>
          <w:sz w:val="24"/>
          <w:szCs w:val="24"/>
        </w:rPr>
        <w:t xml:space="preserve"> by the author</w:t>
      </w:r>
      <w:r>
        <w:rPr>
          <w:rFonts w:ascii="Times New Roman" w:hAnsi="Times New Roman" w:cs="Times New Roman"/>
          <w:sz w:val="24"/>
          <w:szCs w:val="24"/>
        </w:rPr>
        <w:t>, as quantity and quality of data are limiting factors.  Evolutionary artifacts would most likely not make a difference in treatment options that may arise from research such as this.</w:t>
      </w:r>
    </w:p>
    <w:p w14:paraId="2229AF45" w14:textId="3DBE8337"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w:t>
      </w:r>
      <w:r w:rsidR="00F430D8">
        <w:rPr>
          <w:rFonts w:ascii="Times New Roman" w:hAnsi="Times New Roman" w:cs="Times New Roman"/>
          <w:sz w:val="24"/>
          <w:szCs w:val="24"/>
        </w:rPr>
        <w:t>multiple</w:t>
      </w:r>
      <w:r>
        <w:rPr>
          <w:rFonts w:ascii="Times New Roman" w:hAnsi="Times New Roman" w:cs="Times New Roman"/>
          <w:sz w:val="24"/>
          <w:szCs w:val="24"/>
        </w:rPr>
        <w:t xml:space="preserve"> locations</w:t>
      </w:r>
      <w:r w:rsidR="00F430D8">
        <w:rPr>
          <w:rFonts w:ascii="Times New Roman" w:hAnsi="Times New Roman" w:cs="Times New Roman"/>
          <w:sz w:val="24"/>
          <w:szCs w:val="24"/>
        </w:rPr>
        <w:t xml:space="preserve"> and sequencing done at three separate locations</w:t>
      </w:r>
      <w:r>
        <w:rPr>
          <w:rFonts w:ascii="Times New Roman" w:hAnsi="Times New Roman" w:cs="Times New Roman"/>
          <w:sz w:val="24"/>
          <w:szCs w:val="24"/>
        </w:rPr>
        <w:t>, as this is secondary data</w:t>
      </w:r>
      <w:r w:rsidR="00F430D8">
        <w:rPr>
          <w:rFonts w:ascii="Times New Roman" w:hAnsi="Times New Roman" w:cs="Times New Roman"/>
          <w:sz w:val="24"/>
          <w:szCs w:val="24"/>
        </w:rPr>
        <w:t xml:space="preserve"> </w:t>
      </w:r>
      <w:r w:rsidR="00F430D8" w:rsidRPr="00D15DD8">
        <w:rPr>
          <w:rFonts w:ascii="Times New Roman" w:eastAsia="Times New Roman" w:hAnsi="Times New Roman" w:cs="Times New Roman"/>
          <w:i/>
          <w:iCs/>
          <w:color w:val="000000"/>
          <w:sz w:val="24"/>
          <w:szCs w:val="24"/>
        </w:rPr>
        <w:t xml:space="preserve">The </w:t>
      </w:r>
      <w:r w:rsidR="00F430D8" w:rsidRPr="00D15DD8">
        <w:rPr>
          <w:rFonts w:ascii="Times New Roman" w:eastAsia="Times New Roman" w:hAnsi="Times New Roman" w:cs="Times New Roman"/>
          <w:i/>
          <w:iCs/>
          <w:color w:val="000000"/>
          <w:sz w:val="24"/>
          <w:szCs w:val="24"/>
        </w:rPr>
        <w:lastRenderedPageBreak/>
        <w:t>Cancer Genome Atlas Program</w:t>
      </w:r>
      <w:r w:rsidR="00F430D8" w:rsidRPr="00D15DD8">
        <w:rPr>
          <w:rFonts w:ascii="Times New Roman" w:eastAsia="Times New Roman" w:hAnsi="Times New Roman" w:cs="Times New Roman"/>
          <w:color w:val="000000"/>
          <w:sz w:val="24"/>
          <w:szCs w:val="24"/>
        </w:rPr>
        <w:t>, 2019</w:t>
      </w:r>
      <w:r w:rsidR="00F430D8" w:rsidRPr="00041F48">
        <w:rPr>
          <w:rFonts w:ascii="Times New Roman" w:eastAsia="Times New Roman" w:hAnsi="Times New Roman" w:cs="Times New Roman"/>
          <w:color w:val="000000"/>
          <w:sz w:val="24"/>
          <w:szCs w:val="24"/>
        </w:rPr>
        <w:t>)</w:t>
      </w:r>
      <w:r w:rsidR="00F430D8">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87E1046" w14:textId="355EC9B8" w:rsidR="00B65AE3"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w:t>
      </w:r>
      <w:r w:rsidR="00537CC3">
        <w:rPr>
          <w:rFonts w:ascii="Times New Roman" w:hAnsi="Times New Roman" w:cs="Times New Roman"/>
          <w:sz w:val="24"/>
          <w:szCs w:val="24"/>
        </w:rPr>
        <w:t xml:space="preserve">which means that </w:t>
      </w:r>
      <w:r>
        <w:rPr>
          <w:rFonts w:ascii="Times New Roman" w:hAnsi="Times New Roman" w:cs="Times New Roman"/>
          <w:sz w:val="24"/>
          <w:szCs w:val="24"/>
        </w:rPr>
        <w:t xml:space="preserve">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537CC3">
        <w:rPr>
          <w:rFonts w:ascii="Times New Roman" w:hAnsi="Times New Roman" w:cs="Times New Roman"/>
          <w:sz w:val="24"/>
          <w:szCs w:val="24"/>
        </w:rPr>
        <w:t>;</w:t>
      </w:r>
      <w:r w:rsidR="00E70E39">
        <w:rPr>
          <w:rFonts w:ascii="Times New Roman" w:hAnsi="Times New Roman" w:cs="Times New Roman"/>
          <w:sz w:val="24"/>
          <w:szCs w:val="24"/>
        </w:rPr>
        <w:t xml:space="preserve">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 xml:space="preserve">studies </w:t>
      </w:r>
      <w:r w:rsidR="0057492C">
        <w:rPr>
          <w:rFonts w:ascii="Times New Roman" w:hAnsi="Times New Roman" w:cs="Times New Roman"/>
          <w:sz w:val="24"/>
          <w:szCs w:val="24"/>
        </w:rPr>
        <w:t xml:space="preserve">at this </w:t>
      </w:r>
      <w:r w:rsidR="00BB7B77">
        <w:rPr>
          <w:rFonts w:ascii="Times New Roman" w:hAnsi="Times New Roman" w:cs="Times New Roman"/>
          <w:sz w:val="24"/>
          <w:szCs w:val="24"/>
        </w:rPr>
        <w:t>time,</w:t>
      </w:r>
      <w:r w:rsidR="00AC2E02">
        <w:rPr>
          <w:rFonts w:ascii="Times New Roman" w:hAnsi="Times New Roman" w:cs="Times New Roman"/>
          <w:sz w:val="24"/>
          <w:szCs w:val="24"/>
        </w:rPr>
        <w:t xml:space="preserve"> but </w:t>
      </w:r>
      <w:r w:rsidR="00530503">
        <w:rPr>
          <w:rFonts w:ascii="Times New Roman" w:hAnsi="Times New Roman" w:cs="Times New Roman"/>
          <w:sz w:val="24"/>
          <w:szCs w:val="24"/>
        </w:rPr>
        <w:t xml:space="preserve">this </w:t>
      </w:r>
      <w:r w:rsidR="00AC2E02">
        <w:rPr>
          <w:rFonts w:ascii="Times New Roman" w:hAnsi="Times New Roman" w:cs="Times New Roman"/>
          <w:sz w:val="24"/>
          <w:szCs w:val="24"/>
        </w:rPr>
        <w:t>may change in the future</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F2668C">
        <w:rPr>
          <w:rFonts w:ascii="Times New Roman" w:eastAsia="Times New Roman" w:hAnsi="Times New Roman" w:cs="Times New Roman"/>
          <w:color w:val="000000"/>
          <w:sz w:val="24"/>
          <w:szCs w:val="24"/>
        </w:rPr>
        <w:t>There is potential for focused or targeted gene therapy which may be able to use information from studies such as this; especially as targeted gene therapy becomes advanced and viable (</w:t>
      </w:r>
      <w:proofErr w:type="spellStart"/>
      <w:r w:rsidR="00F2668C">
        <w:rPr>
          <w:rFonts w:ascii="Times New Roman" w:eastAsia="Times New Roman" w:hAnsi="Times New Roman" w:cs="Times New Roman"/>
          <w:color w:val="000000"/>
          <w:sz w:val="24"/>
          <w:szCs w:val="24"/>
        </w:rPr>
        <w:t>Zaimy</w:t>
      </w:r>
      <w:proofErr w:type="spellEnd"/>
      <w:r w:rsidR="00F2668C">
        <w:rPr>
          <w:rFonts w:ascii="Times New Roman" w:eastAsia="Times New Roman" w:hAnsi="Times New Roman" w:cs="Times New Roman"/>
          <w:color w:val="000000"/>
          <w:sz w:val="24"/>
          <w:szCs w:val="24"/>
        </w:rPr>
        <w:t xml:space="preserve"> et al., 2017).</w:t>
      </w:r>
      <w:r w:rsidR="000432D9">
        <w:rPr>
          <w:rFonts w:ascii="Times New Roman" w:eastAsia="Times New Roman" w:hAnsi="Times New Roman" w:cs="Times New Roman"/>
          <w:color w:val="000000"/>
          <w:sz w:val="24"/>
          <w:szCs w:val="24"/>
        </w:rPr>
        <w:t xml:space="preserve">  </w:t>
      </w:r>
      <w:r w:rsidR="00336C64">
        <w:rPr>
          <w:rFonts w:ascii="Times New Roman" w:eastAsia="Times New Roman" w:hAnsi="Times New Roman" w:cs="Times New Roman"/>
          <w:color w:val="000000"/>
          <w:sz w:val="24"/>
          <w:szCs w:val="24"/>
        </w:rPr>
        <w:t>Clustered regularly interspaced short palindromic repeats (CRISPR) technology</w:t>
      </w:r>
      <w:r w:rsidR="000432D9">
        <w:rPr>
          <w:rFonts w:ascii="Times New Roman" w:eastAsia="Times New Roman" w:hAnsi="Times New Roman" w:cs="Times New Roman"/>
          <w:color w:val="000000"/>
          <w:sz w:val="24"/>
          <w:szCs w:val="24"/>
        </w:rPr>
        <w:t xml:space="preserve"> could potentially be used for correcting CNV mutations and is even currently being used to model genomic disorders based on CNV (Tai et al., 2016).</w:t>
      </w:r>
      <w:r w:rsidR="005F0CF3">
        <w:rPr>
          <w:rFonts w:ascii="Times New Roman" w:eastAsia="Times New Roman" w:hAnsi="Times New Roman" w:cs="Times New Roman"/>
          <w:color w:val="000000"/>
          <w:sz w:val="24"/>
          <w:szCs w:val="24"/>
        </w:rPr>
        <w:t xml:space="preserve">  However, CRISPR has its own issues in CNV screening regarding false positives as well (De </w:t>
      </w:r>
      <w:proofErr w:type="spellStart"/>
      <w:r w:rsidR="005F0CF3">
        <w:rPr>
          <w:rFonts w:ascii="Times New Roman" w:eastAsia="Times New Roman" w:hAnsi="Times New Roman" w:cs="Times New Roman"/>
          <w:color w:val="000000"/>
          <w:sz w:val="24"/>
          <w:szCs w:val="24"/>
        </w:rPr>
        <w:t>Weck</w:t>
      </w:r>
      <w:proofErr w:type="spellEnd"/>
      <w:r w:rsidR="005F0CF3">
        <w:rPr>
          <w:rFonts w:ascii="Times New Roman" w:eastAsia="Times New Roman" w:hAnsi="Times New Roman" w:cs="Times New Roman"/>
          <w:color w:val="000000"/>
          <w:sz w:val="24"/>
          <w:szCs w:val="24"/>
        </w:rPr>
        <w:t xml:space="preserve"> et al., 2018).</w:t>
      </w:r>
    </w:p>
    <w:p w14:paraId="0CEB68B0" w14:textId="24EF7D09" w:rsidR="005A0F14" w:rsidRDefault="00BB4217"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r w:rsidR="00E63DE1">
        <w:rPr>
          <w:rFonts w:ascii="Times New Roman" w:eastAsia="Times New Roman" w:hAnsi="Times New Roman" w:cs="Times New Roman"/>
          <w:color w:val="000000"/>
          <w:sz w:val="24"/>
          <w:szCs w:val="24"/>
        </w:rPr>
        <w:t xml:space="preserve">  This is important for future treatment as there has been research</w:t>
      </w:r>
      <w:r w:rsidR="00C8181B">
        <w:rPr>
          <w:rFonts w:ascii="Times New Roman" w:eastAsia="Times New Roman" w:hAnsi="Times New Roman" w:cs="Times New Roman"/>
          <w:color w:val="000000"/>
          <w:sz w:val="24"/>
          <w:szCs w:val="24"/>
        </w:rPr>
        <w:t>, also based on TCGA,</w:t>
      </w:r>
      <w:r w:rsidR="00E63DE1">
        <w:rPr>
          <w:rFonts w:ascii="Times New Roman" w:eastAsia="Times New Roman" w:hAnsi="Times New Roman" w:cs="Times New Roman"/>
          <w:color w:val="000000"/>
          <w:sz w:val="24"/>
          <w:szCs w:val="24"/>
        </w:rPr>
        <w:t xml:space="preserve"> exploring the </w:t>
      </w:r>
      <w:r w:rsidR="00E63DE1">
        <w:rPr>
          <w:rFonts w:ascii="Times New Roman" w:eastAsia="Times New Roman" w:hAnsi="Times New Roman" w:cs="Times New Roman"/>
          <w:color w:val="000000"/>
          <w:sz w:val="24"/>
          <w:szCs w:val="24"/>
        </w:rPr>
        <w:lastRenderedPageBreak/>
        <w:t xml:space="preserve">importance of CNV-based risk </w:t>
      </w:r>
      <w:r w:rsidR="00C8181B">
        <w:rPr>
          <w:rFonts w:ascii="Times New Roman" w:eastAsia="Times New Roman" w:hAnsi="Times New Roman" w:cs="Times New Roman"/>
          <w:color w:val="000000"/>
          <w:sz w:val="24"/>
          <w:szCs w:val="24"/>
        </w:rPr>
        <w:t>scores,</w:t>
      </w:r>
      <w:r w:rsidR="00E63DE1">
        <w:rPr>
          <w:rFonts w:ascii="Times New Roman" w:eastAsia="Times New Roman" w:hAnsi="Times New Roman" w:cs="Times New Roman"/>
          <w:color w:val="000000"/>
          <w:sz w:val="24"/>
          <w:szCs w:val="24"/>
        </w:rPr>
        <w:t xml:space="preserve"> and found it to be potentially stronger than other ovarian cancer genomic markers </w:t>
      </w:r>
      <w:r w:rsidR="00CE15B6">
        <w:rPr>
          <w:rFonts w:ascii="Times New Roman" w:eastAsia="Times New Roman" w:hAnsi="Times New Roman" w:cs="Times New Roman"/>
          <w:color w:val="000000"/>
          <w:sz w:val="24"/>
          <w:szCs w:val="24"/>
        </w:rPr>
        <w:t>and successfully used to predict cancer survival</w:t>
      </w:r>
      <w:r w:rsidR="003936C8">
        <w:rPr>
          <w:rFonts w:ascii="Times New Roman" w:eastAsia="Times New Roman" w:hAnsi="Times New Roman" w:cs="Times New Roman"/>
          <w:color w:val="000000"/>
          <w:sz w:val="24"/>
          <w:szCs w:val="24"/>
        </w:rPr>
        <w:t xml:space="preserve"> and highlights the importance of studies such as this</w:t>
      </w:r>
      <w:r w:rsidR="00CE15B6">
        <w:rPr>
          <w:rFonts w:ascii="Times New Roman" w:eastAsia="Times New Roman" w:hAnsi="Times New Roman" w:cs="Times New Roman"/>
          <w:color w:val="000000"/>
          <w:sz w:val="24"/>
          <w:szCs w:val="24"/>
        </w:rPr>
        <w:t xml:space="preserve"> </w:t>
      </w:r>
      <w:r w:rsidR="00E63DE1">
        <w:rPr>
          <w:rFonts w:ascii="Times New Roman" w:eastAsia="Times New Roman" w:hAnsi="Times New Roman" w:cs="Times New Roman"/>
          <w:color w:val="000000"/>
          <w:sz w:val="24"/>
          <w:szCs w:val="24"/>
        </w:rPr>
        <w:t>(Graf et al., 2021</w:t>
      </w:r>
      <w:r w:rsidR="00CE15B6">
        <w:rPr>
          <w:rFonts w:ascii="Times New Roman" w:eastAsia="Times New Roman" w:hAnsi="Times New Roman" w:cs="Times New Roman"/>
          <w:color w:val="000000"/>
          <w:sz w:val="24"/>
          <w:szCs w:val="24"/>
        </w:rPr>
        <w:t>; Van Dijk, et al., 2021</w:t>
      </w:r>
      <w:r w:rsidR="00E63DE1">
        <w:rPr>
          <w:rFonts w:ascii="Times New Roman" w:eastAsia="Times New Roman" w:hAnsi="Times New Roman" w:cs="Times New Roman"/>
          <w:color w:val="000000"/>
          <w:sz w:val="24"/>
          <w:szCs w:val="24"/>
        </w:rPr>
        <w:t>).</w:t>
      </w:r>
    </w:p>
    <w:p w14:paraId="6B397650" w14:textId="23B87B52" w:rsidR="005D6638" w:rsidRDefault="00242AEC"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also important to consider various social responsibilities when doing genetic research.  Federal and state privacy laws should be accounted for when collecting data and performed appropriately so as not to release private health information without consent.</w:t>
      </w:r>
      <w:r w:rsidR="000A3CBB">
        <w:rPr>
          <w:rFonts w:ascii="Times New Roman" w:eastAsia="Times New Roman" w:hAnsi="Times New Roman" w:cs="Times New Roman"/>
          <w:color w:val="000000"/>
          <w:sz w:val="24"/>
          <w:szCs w:val="24"/>
        </w:rPr>
        <w:t xml:space="preserve">  Fortunately, this is not an issue within </w:t>
      </w:r>
      <w:r w:rsidR="005D6638">
        <w:rPr>
          <w:rFonts w:ascii="Times New Roman" w:eastAsia="Times New Roman" w:hAnsi="Times New Roman" w:cs="Times New Roman"/>
          <w:color w:val="000000"/>
          <w:sz w:val="24"/>
          <w:szCs w:val="24"/>
        </w:rPr>
        <w:t>TCGA</w:t>
      </w:r>
      <w:r w:rsidR="00D60392">
        <w:rPr>
          <w:rFonts w:ascii="Times New Roman" w:eastAsia="Times New Roman" w:hAnsi="Times New Roman" w:cs="Times New Roman"/>
          <w:color w:val="000000"/>
          <w:sz w:val="24"/>
          <w:szCs w:val="24"/>
        </w:rPr>
        <w:t xml:space="preserve"> as patients were de-identified</w:t>
      </w:r>
      <w:r w:rsidR="005D6638">
        <w:rPr>
          <w:rFonts w:ascii="Times New Roman" w:eastAsia="Times New Roman" w:hAnsi="Times New Roman" w:cs="Times New Roman"/>
          <w:color w:val="000000"/>
          <w:sz w:val="24"/>
          <w:szCs w:val="24"/>
        </w:rPr>
        <w:t>,</w:t>
      </w:r>
      <w:r w:rsidR="000A3CBB">
        <w:rPr>
          <w:rFonts w:ascii="Times New Roman" w:eastAsia="Times New Roman" w:hAnsi="Times New Roman" w:cs="Times New Roman"/>
          <w:color w:val="000000"/>
          <w:sz w:val="24"/>
          <w:szCs w:val="24"/>
        </w:rPr>
        <w:t xml:space="preserve"> </w:t>
      </w:r>
      <w:r w:rsidR="005D6638">
        <w:rPr>
          <w:rFonts w:ascii="Times New Roman" w:eastAsia="Times New Roman" w:hAnsi="Times New Roman" w:cs="Times New Roman"/>
          <w:color w:val="000000"/>
          <w:sz w:val="24"/>
          <w:szCs w:val="24"/>
        </w:rPr>
        <w:t>although</w:t>
      </w:r>
      <w:r w:rsidR="000A3CBB">
        <w:rPr>
          <w:rFonts w:ascii="Times New Roman" w:eastAsia="Times New Roman" w:hAnsi="Times New Roman" w:cs="Times New Roman"/>
          <w:color w:val="000000"/>
          <w:sz w:val="24"/>
          <w:szCs w:val="24"/>
        </w:rPr>
        <w:t xml:space="preserve"> researchers should be aware of the social and ethic responsibilities and complications that arise with medical data.</w:t>
      </w:r>
    </w:p>
    <w:p w14:paraId="0B196DF2" w14:textId="37B1FD9B" w:rsidR="00376BD2" w:rsidRDefault="00376BD2"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Genetic laws are currently patch</w:t>
      </w:r>
      <w:r w:rsidR="00E723D8">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z w:val="24"/>
          <w:szCs w:val="24"/>
        </w:rPr>
        <w:t>, incomplete, and lacking thought (</w:t>
      </w:r>
      <w:proofErr w:type="spellStart"/>
      <w:r>
        <w:rPr>
          <w:rFonts w:ascii="Times New Roman" w:eastAsia="Times New Roman" w:hAnsi="Times New Roman" w:cs="Times New Roman"/>
          <w:color w:val="000000"/>
          <w:sz w:val="24"/>
          <w:szCs w:val="24"/>
        </w:rPr>
        <w:t>Molteni</w:t>
      </w:r>
      <w:proofErr w:type="spellEnd"/>
      <w:r>
        <w:rPr>
          <w:rFonts w:ascii="Times New Roman" w:eastAsia="Times New Roman" w:hAnsi="Times New Roman" w:cs="Times New Roman"/>
          <w:color w:val="000000"/>
          <w:sz w:val="24"/>
          <w:szCs w:val="24"/>
        </w:rPr>
        <w:t>, 2019).</w:t>
      </w:r>
      <w:r w:rsidR="009821C1">
        <w:rPr>
          <w:rFonts w:ascii="Times New Roman" w:eastAsia="Times New Roman" w:hAnsi="Times New Roman" w:cs="Times New Roman"/>
          <w:color w:val="000000"/>
          <w:sz w:val="24"/>
          <w:szCs w:val="24"/>
        </w:rPr>
        <w:t xml:space="preserve">  Should a genetic data lake or warehouse be created, this could lead to unwarranted and unethical actions by researchers or others.  Access to such databases could be used for nefarious purposes and the trafficking or transmission of such genetic information could lead to compromising people’s genetic anonymity against their will.</w:t>
      </w:r>
    </w:p>
    <w:p w14:paraId="769C8FDB" w14:textId="1BF4581C" w:rsidR="00B65AE3" w:rsidRPr="005A0F14" w:rsidRDefault="000A3CBB"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social responsibility worth keeping in mind, is that studies</w:t>
      </w:r>
      <w:r w:rsidR="00E00683">
        <w:rPr>
          <w:rFonts w:ascii="Times New Roman" w:eastAsia="Times New Roman" w:hAnsi="Times New Roman" w:cs="Times New Roman"/>
          <w:color w:val="000000"/>
          <w:sz w:val="24"/>
          <w:szCs w:val="24"/>
        </w:rPr>
        <w:t xml:space="preserve"> such as survival analysis</w:t>
      </w:r>
      <w:r>
        <w:rPr>
          <w:rFonts w:ascii="Times New Roman" w:eastAsia="Times New Roman" w:hAnsi="Times New Roman" w:cs="Times New Roman"/>
          <w:color w:val="000000"/>
          <w:sz w:val="24"/>
          <w:szCs w:val="24"/>
        </w:rPr>
        <w:t xml:space="preserve"> performed on genetic data will </w:t>
      </w:r>
      <w:r w:rsidR="0089586C">
        <w:rPr>
          <w:rFonts w:ascii="Times New Roman" w:eastAsia="Times New Roman" w:hAnsi="Times New Roman" w:cs="Times New Roman"/>
          <w:color w:val="000000"/>
          <w:sz w:val="24"/>
          <w:szCs w:val="24"/>
        </w:rPr>
        <w:t xml:space="preserve">most likely </w:t>
      </w:r>
      <w:r>
        <w:rPr>
          <w:rFonts w:ascii="Times New Roman" w:eastAsia="Times New Roman" w:hAnsi="Times New Roman" w:cs="Times New Roman"/>
          <w:color w:val="000000"/>
          <w:sz w:val="24"/>
          <w:szCs w:val="24"/>
        </w:rPr>
        <w:t>have biases</w:t>
      </w:r>
      <w:r w:rsidR="0089586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medical products, treatments, or tests designed from said research should have biases explicitly stated to </w:t>
      </w:r>
      <w:r w:rsidR="0089586C">
        <w:rPr>
          <w:rFonts w:ascii="Times New Roman" w:eastAsia="Times New Roman" w:hAnsi="Times New Roman" w:cs="Times New Roman"/>
          <w:color w:val="000000"/>
          <w:sz w:val="24"/>
          <w:szCs w:val="24"/>
        </w:rPr>
        <w:t>the product, treatment, or test’s</w:t>
      </w:r>
      <w:r>
        <w:rPr>
          <w:rFonts w:ascii="Times New Roman" w:eastAsia="Times New Roman" w:hAnsi="Times New Roman" w:cs="Times New Roman"/>
          <w:color w:val="000000"/>
          <w:sz w:val="24"/>
          <w:szCs w:val="24"/>
        </w:rPr>
        <w:t xml:space="preserve"> </w:t>
      </w:r>
      <w:r w:rsidR="0089586C">
        <w:rPr>
          <w:rFonts w:ascii="Times New Roman" w:eastAsia="Times New Roman" w:hAnsi="Times New Roman" w:cs="Times New Roman"/>
          <w:color w:val="000000"/>
          <w:sz w:val="24"/>
          <w:szCs w:val="24"/>
        </w:rPr>
        <w:t xml:space="preserve">respective </w:t>
      </w:r>
      <w:r>
        <w:rPr>
          <w:rFonts w:ascii="Times New Roman" w:eastAsia="Times New Roman" w:hAnsi="Times New Roman" w:cs="Times New Roman"/>
          <w:color w:val="000000"/>
          <w:sz w:val="24"/>
          <w:szCs w:val="24"/>
        </w:rPr>
        <w:t xml:space="preserve">creators.  </w:t>
      </w:r>
      <w:r w:rsidR="004229B0">
        <w:rPr>
          <w:rFonts w:ascii="Times New Roman" w:eastAsia="Times New Roman" w:hAnsi="Times New Roman" w:cs="Times New Roman"/>
          <w:color w:val="000000"/>
          <w:sz w:val="24"/>
          <w:szCs w:val="24"/>
        </w:rPr>
        <w:t>It would be highly unethical, and could cause harm to patients, if faulty and biased research are used to produce treatments or tests which may lead to incorrect conclusions or decisions about a patient’s health.</w:t>
      </w:r>
      <w:r w:rsidR="00E00683">
        <w:rPr>
          <w:rFonts w:ascii="Times New Roman" w:eastAsia="Times New Roman" w:hAnsi="Times New Roman" w:cs="Times New Roman"/>
          <w:color w:val="000000"/>
          <w:sz w:val="24"/>
          <w:szCs w:val="24"/>
        </w:rPr>
        <w:t xml:space="preserve">  Thus, explicitly stating biases in research helps contribute to this process o</w:t>
      </w:r>
      <w:r w:rsidR="00DE1F47">
        <w:rPr>
          <w:rFonts w:ascii="Times New Roman" w:eastAsia="Times New Roman" w:hAnsi="Times New Roman" w:cs="Times New Roman"/>
          <w:color w:val="000000"/>
          <w:sz w:val="24"/>
          <w:szCs w:val="24"/>
        </w:rPr>
        <w:t>f</w:t>
      </w:r>
      <w:r w:rsidR="00E00683">
        <w:rPr>
          <w:rFonts w:ascii="Times New Roman" w:eastAsia="Times New Roman" w:hAnsi="Times New Roman" w:cs="Times New Roman"/>
          <w:color w:val="000000"/>
          <w:sz w:val="24"/>
          <w:szCs w:val="24"/>
        </w:rPr>
        <w:t xml:space="preserve"> preventing unethical and biased conclusions.  It would be prudent to have findings replicated in another genetic database when bias may be a major complication</w:t>
      </w:r>
      <w:r w:rsidR="00FD27AB">
        <w:rPr>
          <w:rFonts w:ascii="Times New Roman" w:eastAsia="Times New Roman" w:hAnsi="Times New Roman" w:cs="Times New Roman"/>
          <w:color w:val="000000"/>
          <w:sz w:val="24"/>
          <w:szCs w:val="24"/>
        </w:rPr>
        <w:t>.</w:t>
      </w:r>
      <w:r w:rsidR="00650AED">
        <w:rPr>
          <w:rFonts w:ascii="Times New Roman" w:eastAsia="Times New Roman" w:hAnsi="Times New Roman" w:cs="Times New Roman"/>
          <w:color w:val="000000"/>
          <w:sz w:val="24"/>
          <w:szCs w:val="24"/>
        </w:rPr>
        <w:t xml:space="preserve">  Because of these biases and the lack of research on CNV in general, m</w:t>
      </w:r>
      <w:r w:rsidR="00B65AE3">
        <w:rPr>
          <w:rFonts w:ascii="Times New Roman" w:eastAsia="Times New Roman" w:hAnsi="Times New Roman" w:cs="Times New Roman"/>
          <w:color w:val="000000"/>
          <w:sz w:val="24"/>
          <w:szCs w:val="24"/>
        </w:rPr>
        <w:t xml:space="preserve">ore </w:t>
      </w:r>
      <w:r w:rsidR="00B65AE3">
        <w:rPr>
          <w:rFonts w:ascii="Times New Roman" w:eastAsia="Times New Roman" w:hAnsi="Times New Roman" w:cs="Times New Roman"/>
          <w:color w:val="000000"/>
          <w:sz w:val="24"/>
          <w:szCs w:val="24"/>
        </w:rPr>
        <w:lastRenderedPageBreak/>
        <w:t xml:space="preserve">studies on collagen </w:t>
      </w:r>
      <w:r w:rsidR="00AE3D2A">
        <w:rPr>
          <w:rFonts w:ascii="Times New Roman" w:eastAsia="Times New Roman" w:hAnsi="Times New Roman" w:cs="Times New Roman"/>
          <w:color w:val="000000"/>
          <w:sz w:val="24"/>
          <w:szCs w:val="24"/>
        </w:rPr>
        <w:t xml:space="preserve">in patient </w:t>
      </w:r>
      <w:r w:rsidR="00B65AE3">
        <w:rPr>
          <w:rFonts w:ascii="Times New Roman" w:eastAsia="Times New Roman" w:hAnsi="Times New Roman" w:cs="Times New Roman"/>
          <w:color w:val="000000"/>
          <w:sz w:val="24"/>
          <w:szCs w:val="24"/>
        </w:rPr>
        <w:t>genetic</w:t>
      </w:r>
      <w:r w:rsidR="00AE3D2A">
        <w:rPr>
          <w:rFonts w:ascii="Times New Roman" w:eastAsia="Times New Roman" w:hAnsi="Times New Roman" w:cs="Times New Roman"/>
          <w:color w:val="000000"/>
          <w:sz w:val="24"/>
          <w:szCs w:val="24"/>
        </w:rPr>
        <w:t xml:space="preserve"> profiles</w:t>
      </w:r>
      <w:r w:rsidR="00B65AE3">
        <w:rPr>
          <w:rFonts w:ascii="Times New Roman" w:eastAsia="Times New Roman" w:hAnsi="Times New Roman" w:cs="Times New Roman"/>
          <w:color w:val="000000"/>
          <w:sz w:val="24"/>
          <w:szCs w:val="24"/>
        </w:rPr>
        <w:t xml:space="preserve"> for all types of cancer regarding CNV should be conducted to further our base knowledge</w:t>
      </w:r>
      <w:r w:rsidR="000B6977">
        <w:rPr>
          <w:rFonts w:ascii="Times New Roman" w:eastAsia="Times New Roman" w:hAnsi="Times New Roman" w:cs="Times New Roman"/>
          <w:color w:val="000000"/>
          <w:sz w:val="24"/>
          <w:szCs w:val="24"/>
        </w:rPr>
        <w:t xml:space="preserve"> which may lead to better treatments in the future</w:t>
      </w:r>
      <w:r w:rsidR="00AE3D2A">
        <w:rPr>
          <w:rFonts w:ascii="Times New Roman" w:eastAsia="Times New Roman" w:hAnsi="Times New Roman" w:cs="Times New Roman"/>
          <w:color w:val="000000"/>
          <w:sz w:val="24"/>
          <w:szCs w:val="24"/>
        </w:rPr>
        <w:t>.</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2243C331" w:rsidR="0082021C" w:rsidRDefault="0082021C" w:rsidP="00FE2AF3">
      <w:pPr>
        <w:spacing w:line="240" w:lineRule="auto"/>
        <w:rPr>
          <w:rFonts w:ascii="Times New Roman" w:hAnsi="Times New Roman" w:cs="Times New Roman"/>
          <w:b/>
          <w:sz w:val="24"/>
          <w:szCs w:val="24"/>
        </w:rPr>
      </w:pPr>
    </w:p>
    <w:p w14:paraId="1F2283FB" w14:textId="32838012" w:rsidR="004F4AFA" w:rsidRDefault="004F4AFA" w:rsidP="004F4AFA">
      <w:pPr>
        <w:shd w:val="clear" w:color="auto" w:fill="FFFFFF"/>
        <w:spacing w:after="0" w:line="240" w:lineRule="auto"/>
        <w:ind w:left="720" w:hanging="720"/>
        <w:rPr>
          <w:rFonts w:ascii="Times New Roman" w:eastAsia="Times New Roman" w:hAnsi="Times New Roman" w:cs="Times New Roman"/>
          <w:color w:val="000000"/>
          <w:sz w:val="24"/>
          <w:szCs w:val="24"/>
        </w:rPr>
      </w:pPr>
      <w:r w:rsidRPr="004F4AFA">
        <w:rPr>
          <w:rFonts w:ascii="Times New Roman" w:eastAsia="Times New Roman" w:hAnsi="Times New Roman" w:cs="Times New Roman"/>
          <w:color w:val="000000"/>
          <w:sz w:val="24"/>
          <w:szCs w:val="24"/>
        </w:rPr>
        <w:t>Alteryx, Inc.  Released 2006.  Alteryx Designer, Version 2019.4.8.22007. Irvine, CA: Alteryx, Inc.</w:t>
      </w:r>
    </w:p>
    <w:p w14:paraId="79D5100C" w14:textId="7DD59092" w:rsidR="002C06B5" w:rsidRDefault="002C06B5" w:rsidP="004F4AFA">
      <w:pPr>
        <w:shd w:val="clear" w:color="auto" w:fill="FFFFFF"/>
        <w:spacing w:after="0" w:line="240" w:lineRule="auto"/>
        <w:ind w:left="720" w:hanging="720"/>
        <w:rPr>
          <w:rFonts w:ascii="Times New Roman" w:eastAsia="Times New Roman" w:hAnsi="Times New Roman" w:cs="Times New Roman"/>
          <w:color w:val="000000"/>
          <w:sz w:val="24"/>
          <w:szCs w:val="24"/>
        </w:rPr>
      </w:pPr>
    </w:p>
    <w:p w14:paraId="5010FD48" w14:textId="77777777" w:rsidR="002C06B5" w:rsidRPr="002C06B5" w:rsidRDefault="002C06B5" w:rsidP="002C06B5">
      <w:pPr>
        <w:shd w:val="clear" w:color="auto" w:fill="FFFFFF"/>
        <w:spacing w:after="0" w:line="240" w:lineRule="auto"/>
        <w:ind w:left="720" w:hanging="720"/>
        <w:rPr>
          <w:rFonts w:ascii="Times New Roman" w:eastAsia="Times New Roman" w:hAnsi="Times New Roman" w:cs="Times New Roman"/>
          <w:color w:val="000000"/>
          <w:sz w:val="24"/>
          <w:szCs w:val="24"/>
        </w:rPr>
      </w:pPr>
      <w:r w:rsidRPr="002C06B5">
        <w:rPr>
          <w:rFonts w:ascii="Times New Roman" w:eastAsia="Times New Roman" w:hAnsi="Times New Roman" w:cs="Times New Roman"/>
          <w:color w:val="000000"/>
          <w:sz w:val="24"/>
          <w:szCs w:val="24"/>
        </w:rPr>
        <w:t xml:space="preserve">Bode, G. H., </w:t>
      </w:r>
      <w:proofErr w:type="spellStart"/>
      <w:r w:rsidRPr="002C06B5">
        <w:rPr>
          <w:rFonts w:ascii="Times New Roman" w:eastAsia="Times New Roman" w:hAnsi="Times New Roman" w:cs="Times New Roman"/>
          <w:color w:val="000000"/>
          <w:sz w:val="24"/>
          <w:szCs w:val="24"/>
        </w:rPr>
        <w:t>Losen</w:t>
      </w:r>
      <w:proofErr w:type="spellEnd"/>
      <w:r w:rsidRPr="002C06B5">
        <w:rPr>
          <w:rFonts w:ascii="Times New Roman" w:eastAsia="Times New Roman" w:hAnsi="Times New Roman" w:cs="Times New Roman"/>
          <w:color w:val="000000"/>
          <w:sz w:val="24"/>
          <w:szCs w:val="24"/>
        </w:rPr>
        <w:t xml:space="preserve">, M., </w:t>
      </w:r>
      <w:proofErr w:type="spellStart"/>
      <w:r w:rsidRPr="002C06B5">
        <w:rPr>
          <w:rFonts w:ascii="Times New Roman" w:eastAsia="Times New Roman" w:hAnsi="Times New Roman" w:cs="Times New Roman"/>
          <w:color w:val="000000"/>
          <w:sz w:val="24"/>
          <w:szCs w:val="24"/>
        </w:rPr>
        <w:t>Buurman</w:t>
      </w:r>
      <w:proofErr w:type="spellEnd"/>
      <w:r w:rsidRPr="002C06B5">
        <w:rPr>
          <w:rFonts w:ascii="Times New Roman" w:eastAsia="Times New Roman" w:hAnsi="Times New Roman" w:cs="Times New Roman"/>
          <w:color w:val="000000"/>
          <w:sz w:val="24"/>
          <w:szCs w:val="24"/>
        </w:rPr>
        <w:t xml:space="preserve">, W. A., </w:t>
      </w:r>
      <w:proofErr w:type="spellStart"/>
      <w:r w:rsidRPr="002C06B5">
        <w:rPr>
          <w:rFonts w:ascii="Times New Roman" w:eastAsia="Times New Roman" w:hAnsi="Times New Roman" w:cs="Times New Roman"/>
          <w:color w:val="000000"/>
          <w:sz w:val="24"/>
          <w:szCs w:val="24"/>
        </w:rPr>
        <w:t>Veerhuis</w:t>
      </w:r>
      <w:proofErr w:type="spellEnd"/>
      <w:r w:rsidRPr="002C06B5">
        <w:rPr>
          <w:rFonts w:ascii="Times New Roman" w:eastAsia="Times New Roman" w:hAnsi="Times New Roman" w:cs="Times New Roman"/>
          <w:color w:val="000000"/>
          <w:sz w:val="24"/>
          <w:szCs w:val="24"/>
        </w:rPr>
        <w:t xml:space="preserve">, R., </w:t>
      </w:r>
      <w:proofErr w:type="spellStart"/>
      <w:r w:rsidRPr="002C06B5">
        <w:rPr>
          <w:rFonts w:ascii="Times New Roman" w:eastAsia="Times New Roman" w:hAnsi="Times New Roman" w:cs="Times New Roman"/>
          <w:color w:val="000000"/>
          <w:sz w:val="24"/>
          <w:szCs w:val="24"/>
        </w:rPr>
        <w:t>Molenaar</w:t>
      </w:r>
      <w:proofErr w:type="spellEnd"/>
      <w:r w:rsidRPr="002C06B5">
        <w:rPr>
          <w:rFonts w:ascii="Times New Roman" w:eastAsia="Times New Roman" w:hAnsi="Times New Roman" w:cs="Times New Roman"/>
          <w:color w:val="000000"/>
          <w:sz w:val="24"/>
          <w:szCs w:val="24"/>
        </w:rPr>
        <w:t xml:space="preserve">, P. C., </w:t>
      </w:r>
      <w:proofErr w:type="spellStart"/>
      <w:r w:rsidRPr="002C06B5">
        <w:rPr>
          <w:rFonts w:ascii="Times New Roman" w:eastAsia="Times New Roman" w:hAnsi="Times New Roman" w:cs="Times New Roman"/>
          <w:color w:val="000000"/>
          <w:sz w:val="24"/>
          <w:szCs w:val="24"/>
        </w:rPr>
        <w:t>Steinbusch</w:t>
      </w:r>
      <w:proofErr w:type="spellEnd"/>
      <w:r w:rsidRPr="002C06B5">
        <w:rPr>
          <w:rFonts w:ascii="Times New Roman" w:eastAsia="Times New Roman" w:hAnsi="Times New Roman" w:cs="Times New Roman"/>
          <w:color w:val="000000"/>
          <w:sz w:val="24"/>
          <w:szCs w:val="24"/>
        </w:rPr>
        <w:t xml:space="preserve">, H. W. M., De </w:t>
      </w:r>
      <w:proofErr w:type="spellStart"/>
      <w:r w:rsidRPr="002C06B5">
        <w:rPr>
          <w:rFonts w:ascii="Times New Roman" w:eastAsia="Times New Roman" w:hAnsi="Times New Roman" w:cs="Times New Roman"/>
          <w:color w:val="000000"/>
          <w:sz w:val="24"/>
          <w:szCs w:val="24"/>
        </w:rPr>
        <w:t>Baets</w:t>
      </w:r>
      <w:proofErr w:type="spellEnd"/>
      <w:r w:rsidRPr="002C06B5">
        <w:rPr>
          <w:rFonts w:ascii="Times New Roman" w:eastAsia="Times New Roman" w:hAnsi="Times New Roman" w:cs="Times New Roman"/>
          <w:color w:val="000000"/>
          <w:sz w:val="24"/>
          <w:szCs w:val="24"/>
        </w:rPr>
        <w:t xml:space="preserve">, M. H., </w:t>
      </w:r>
      <w:proofErr w:type="spellStart"/>
      <w:r w:rsidRPr="002C06B5">
        <w:rPr>
          <w:rFonts w:ascii="Times New Roman" w:eastAsia="Times New Roman" w:hAnsi="Times New Roman" w:cs="Times New Roman"/>
          <w:color w:val="000000"/>
          <w:sz w:val="24"/>
          <w:szCs w:val="24"/>
        </w:rPr>
        <w:t>Daha</w:t>
      </w:r>
      <w:proofErr w:type="spellEnd"/>
      <w:r w:rsidRPr="002C06B5">
        <w:rPr>
          <w:rFonts w:ascii="Times New Roman" w:eastAsia="Times New Roman" w:hAnsi="Times New Roman" w:cs="Times New Roman"/>
          <w:color w:val="000000"/>
          <w:sz w:val="24"/>
          <w:szCs w:val="24"/>
        </w:rPr>
        <w:t xml:space="preserve">, M. R., &amp; Martinez-Martinez, P. (2014). Complement Activation by Ceramide Transporter Proteins. </w:t>
      </w:r>
      <w:r w:rsidRPr="002C06B5">
        <w:rPr>
          <w:rFonts w:ascii="Times New Roman" w:eastAsia="Times New Roman" w:hAnsi="Times New Roman" w:cs="Times New Roman"/>
          <w:i/>
          <w:iCs/>
          <w:color w:val="000000"/>
          <w:sz w:val="24"/>
          <w:szCs w:val="24"/>
        </w:rPr>
        <w:t>The Journal of Immunology</w:t>
      </w:r>
      <w:r w:rsidRPr="002C06B5">
        <w:rPr>
          <w:rFonts w:ascii="Times New Roman" w:eastAsia="Times New Roman" w:hAnsi="Times New Roman" w:cs="Times New Roman"/>
          <w:color w:val="000000"/>
          <w:sz w:val="24"/>
          <w:szCs w:val="24"/>
        </w:rPr>
        <w:t xml:space="preserve">, </w:t>
      </w:r>
      <w:r w:rsidRPr="002C06B5">
        <w:rPr>
          <w:rFonts w:ascii="Times New Roman" w:eastAsia="Times New Roman" w:hAnsi="Times New Roman" w:cs="Times New Roman"/>
          <w:i/>
          <w:iCs/>
          <w:color w:val="000000"/>
          <w:sz w:val="24"/>
          <w:szCs w:val="24"/>
        </w:rPr>
        <w:t>192</w:t>
      </w:r>
      <w:r w:rsidRPr="002C06B5">
        <w:rPr>
          <w:rFonts w:ascii="Times New Roman" w:eastAsia="Times New Roman" w:hAnsi="Times New Roman" w:cs="Times New Roman"/>
          <w:color w:val="000000"/>
          <w:sz w:val="24"/>
          <w:szCs w:val="24"/>
        </w:rPr>
        <w:t>(3), 1154–1161. https://doi.org/10.4049/jimmunol.1301673</w:t>
      </w:r>
    </w:p>
    <w:p w14:paraId="36D19E74" w14:textId="77777777" w:rsidR="002C06B5" w:rsidRPr="002C06B5" w:rsidRDefault="002C06B5" w:rsidP="002C06B5">
      <w:pPr>
        <w:shd w:val="clear" w:color="auto" w:fill="FFFFFF"/>
        <w:spacing w:after="0" w:line="240" w:lineRule="auto"/>
        <w:rPr>
          <w:rFonts w:ascii="Times New Roman" w:eastAsia="Times New Roman" w:hAnsi="Times New Roman" w:cs="Times New Roman"/>
          <w:color w:val="000000"/>
          <w:sz w:val="24"/>
          <w:szCs w:val="24"/>
        </w:rPr>
      </w:pPr>
      <w:r w:rsidRPr="002C06B5">
        <w:rPr>
          <w:rFonts w:ascii="Times New Roman" w:eastAsia="Times New Roman" w:hAnsi="Times New Roman" w:cs="Times New Roman"/>
          <w:color w:val="000000"/>
          <w:sz w:val="24"/>
          <w:szCs w:val="24"/>
        </w:rPr>
        <w:t>‌</w:t>
      </w:r>
    </w:p>
    <w:p w14:paraId="47B3FA56" w14:textId="30005E16" w:rsidR="005B0FD7" w:rsidRDefault="005B0FD7" w:rsidP="005B0FD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B0FD7">
        <w:rPr>
          <w:rFonts w:ascii="Times New Roman" w:eastAsia="Times New Roman" w:hAnsi="Times New Roman" w:cs="Times New Roman"/>
          <w:color w:val="000000"/>
          <w:sz w:val="24"/>
          <w:szCs w:val="24"/>
        </w:rPr>
        <w:t>Bohoris</w:t>
      </w:r>
      <w:proofErr w:type="spellEnd"/>
      <w:r w:rsidRPr="005B0FD7">
        <w:rPr>
          <w:rFonts w:ascii="Times New Roman" w:eastAsia="Times New Roman" w:hAnsi="Times New Roman" w:cs="Times New Roman"/>
          <w:color w:val="000000"/>
          <w:sz w:val="24"/>
          <w:szCs w:val="24"/>
        </w:rPr>
        <w:t xml:space="preserve">, G. A. (1994). Comparison of the cumulative-hazard and Kaplan-Meier estimators of the survivor function. </w:t>
      </w:r>
      <w:r w:rsidRPr="005B0FD7">
        <w:rPr>
          <w:rFonts w:ascii="Times New Roman" w:eastAsia="Times New Roman" w:hAnsi="Times New Roman" w:cs="Times New Roman"/>
          <w:i/>
          <w:iCs/>
          <w:color w:val="000000"/>
          <w:sz w:val="24"/>
          <w:szCs w:val="24"/>
        </w:rPr>
        <w:t>IEEE Transactions on Reliability</w:t>
      </w:r>
      <w:r w:rsidRPr="005B0FD7">
        <w:rPr>
          <w:rFonts w:ascii="Times New Roman" w:eastAsia="Times New Roman" w:hAnsi="Times New Roman" w:cs="Times New Roman"/>
          <w:color w:val="000000"/>
          <w:sz w:val="24"/>
          <w:szCs w:val="24"/>
        </w:rPr>
        <w:t xml:space="preserve">, </w:t>
      </w:r>
      <w:r w:rsidRPr="005B0FD7">
        <w:rPr>
          <w:rFonts w:ascii="Times New Roman" w:eastAsia="Times New Roman" w:hAnsi="Times New Roman" w:cs="Times New Roman"/>
          <w:i/>
          <w:iCs/>
          <w:color w:val="000000"/>
          <w:sz w:val="24"/>
          <w:szCs w:val="24"/>
        </w:rPr>
        <w:t>43</w:t>
      </w:r>
      <w:r w:rsidRPr="005B0FD7">
        <w:rPr>
          <w:rFonts w:ascii="Times New Roman" w:eastAsia="Times New Roman" w:hAnsi="Times New Roman" w:cs="Times New Roman"/>
          <w:color w:val="000000"/>
          <w:sz w:val="24"/>
          <w:szCs w:val="24"/>
        </w:rPr>
        <w:t xml:space="preserve">(2), 230–232. </w:t>
      </w:r>
      <w:hyperlink r:id="rId28" w:history="1">
        <w:r w:rsidR="005372C3" w:rsidRPr="00476527">
          <w:rPr>
            <w:rStyle w:val="Hyperlink"/>
            <w:rFonts w:ascii="Times New Roman" w:eastAsia="Times New Roman" w:hAnsi="Times New Roman" w:cs="Times New Roman"/>
            <w:sz w:val="24"/>
            <w:szCs w:val="24"/>
          </w:rPr>
          <w:t>https://doi.org/10.1109/24.294997</w:t>
        </w:r>
      </w:hyperlink>
    </w:p>
    <w:p w14:paraId="5E041FE1" w14:textId="19264E62" w:rsidR="005372C3" w:rsidRDefault="005372C3" w:rsidP="005B0FD7">
      <w:pPr>
        <w:shd w:val="clear" w:color="auto" w:fill="FFFFFF"/>
        <w:spacing w:after="0" w:line="240" w:lineRule="auto"/>
        <w:ind w:left="720" w:hanging="720"/>
        <w:rPr>
          <w:rFonts w:ascii="Times New Roman" w:eastAsia="Times New Roman" w:hAnsi="Times New Roman" w:cs="Times New Roman"/>
          <w:color w:val="000000"/>
          <w:sz w:val="24"/>
          <w:szCs w:val="24"/>
        </w:rPr>
      </w:pPr>
    </w:p>
    <w:p w14:paraId="1ACB7ABA" w14:textId="77777777" w:rsidR="005372C3" w:rsidRPr="005372C3" w:rsidRDefault="005372C3" w:rsidP="005372C3">
      <w:pPr>
        <w:shd w:val="clear" w:color="auto" w:fill="FFFFFF"/>
        <w:spacing w:after="0" w:line="240" w:lineRule="auto"/>
        <w:ind w:left="720" w:hanging="720"/>
        <w:rPr>
          <w:rFonts w:ascii="Times New Roman" w:eastAsia="Times New Roman" w:hAnsi="Times New Roman" w:cs="Times New Roman"/>
          <w:color w:val="000000"/>
          <w:sz w:val="24"/>
          <w:szCs w:val="24"/>
        </w:rPr>
      </w:pPr>
      <w:r w:rsidRPr="005372C3">
        <w:rPr>
          <w:rFonts w:ascii="Times New Roman" w:eastAsia="Times New Roman" w:hAnsi="Times New Roman" w:cs="Times New Roman"/>
          <w:color w:val="000000"/>
          <w:sz w:val="24"/>
          <w:szCs w:val="24"/>
        </w:rPr>
        <w:t xml:space="preserve">Bonferroni, C. E. (1936). Teoria </w:t>
      </w:r>
      <w:proofErr w:type="spellStart"/>
      <w:r w:rsidRPr="005372C3">
        <w:rPr>
          <w:rFonts w:ascii="Times New Roman" w:eastAsia="Times New Roman" w:hAnsi="Times New Roman" w:cs="Times New Roman"/>
          <w:color w:val="000000"/>
          <w:sz w:val="24"/>
          <w:szCs w:val="24"/>
        </w:rPr>
        <w:t>statistica</w:t>
      </w:r>
      <w:proofErr w:type="spellEnd"/>
      <w:r w:rsidRPr="005372C3">
        <w:rPr>
          <w:rFonts w:ascii="Times New Roman" w:eastAsia="Times New Roman" w:hAnsi="Times New Roman" w:cs="Times New Roman"/>
          <w:color w:val="000000"/>
          <w:sz w:val="24"/>
          <w:szCs w:val="24"/>
        </w:rPr>
        <w:t xml:space="preserve"> </w:t>
      </w:r>
      <w:proofErr w:type="spellStart"/>
      <w:r w:rsidRPr="005372C3">
        <w:rPr>
          <w:rFonts w:ascii="Times New Roman" w:eastAsia="Times New Roman" w:hAnsi="Times New Roman" w:cs="Times New Roman"/>
          <w:color w:val="000000"/>
          <w:sz w:val="24"/>
          <w:szCs w:val="24"/>
        </w:rPr>
        <w:t>delle</w:t>
      </w:r>
      <w:proofErr w:type="spellEnd"/>
      <w:r w:rsidRPr="005372C3">
        <w:rPr>
          <w:rFonts w:ascii="Times New Roman" w:eastAsia="Times New Roman" w:hAnsi="Times New Roman" w:cs="Times New Roman"/>
          <w:color w:val="000000"/>
          <w:sz w:val="24"/>
          <w:szCs w:val="24"/>
        </w:rPr>
        <w:t xml:space="preserve"> </w:t>
      </w:r>
      <w:proofErr w:type="spellStart"/>
      <w:r w:rsidRPr="005372C3">
        <w:rPr>
          <w:rFonts w:ascii="Times New Roman" w:eastAsia="Times New Roman" w:hAnsi="Times New Roman" w:cs="Times New Roman"/>
          <w:color w:val="000000"/>
          <w:sz w:val="24"/>
          <w:szCs w:val="24"/>
        </w:rPr>
        <w:t>classi</w:t>
      </w:r>
      <w:proofErr w:type="spellEnd"/>
      <w:r w:rsidRPr="005372C3">
        <w:rPr>
          <w:rFonts w:ascii="Times New Roman" w:eastAsia="Times New Roman" w:hAnsi="Times New Roman" w:cs="Times New Roman"/>
          <w:color w:val="000000"/>
          <w:sz w:val="24"/>
          <w:szCs w:val="24"/>
        </w:rPr>
        <w:t xml:space="preserve"> e </w:t>
      </w:r>
      <w:proofErr w:type="spellStart"/>
      <w:r w:rsidRPr="005372C3">
        <w:rPr>
          <w:rFonts w:ascii="Times New Roman" w:eastAsia="Times New Roman" w:hAnsi="Times New Roman" w:cs="Times New Roman"/>
          <w:color w:val="000000"/>
          <w:sz w:val="24"/>
          <w:szCs w:val="24"/>
        </w:rPr>
        <w:t>calcolo</w:t>
      </w:r>
      <w:proofErr w:type="spellEnd"/>
      <w:r w:rsidRPr="005372C3">
        <w:rPr>
          <w:rFonts w:ascii="Times New Roman" w:eastAsia="Times New Roman" w:hAnsi="Times New Roman" w:cs="Times New Roman"/>
          <w:color w:val="000000"/>
          <w:sz w:val="24"/>
          <w:szCs w:val="24"/>
        </w:rPr>
        <w:t xml:space="preserve"> </w:t>
      </w:r>
      <w:proofErr w:type="spellStart"/>
      <w:r w:rsidRPr="005372C3">
        <w:rPr>
          <w:rFonts w:ascii="Times New Roman" w:eastAsia="Times New Roman" w:hAnsi="Times New Roman" w:cs="Times New Roman"/>
          <w:color w:val="000000"/>
          <w:sz w:val="24"/>
          <w:szCs w:val="24"/>
        </w:rPr>
        <w:t>delle</w:t>
      </w:r>
      <w:proofErr w:type="spellEnd"/>
      <w:r w:rsidRPr="005372C3">
        <w:rPr>
          <w:rFonts w:ascii="Times New Roman" w:eastAsia="Times New Roman" w:hAnsi="Times New Roman" w:cs="Times New Roman"/>
          <w:color w:val="000000"/>
          <w:sz w:val="24"/>
          <w:szCs w:val="24"/>
        </w:rPr>
        <w:t xml:space="preserve"> </w:t>
      </w:r>
      <w:proofErr w:type="spellStart"/>
      <w:r w:rsidRPr="005372C3">
        <w:rPr>
          <w:rFonts w:ascii="Times New Roman" w:eastAsia="Times New Roman" w:hAnsi="Times New Roman" w:cs="Times New Roman"/>
          <w:color w:val="000000"/>
          <w:sz w:val="24"/>
          <w:szCs w:val="24"/>
        </w:rPr>
        <w:t>probabilità</w:t>
      </w:r>
      <w:proofErr w:type="spellEnd"/>
      <w:r w:rsidRPr="005372C3">
        <w:rPr>
          <w:rFonts w:ascii="Times New Roman" w:eastAsia="Times New Roman" w:hAnsi="Times New Roman" w:cs="Times New Roman"/>
          <w:color w:val="000000"/>
          <w:sz w:val="24"/>
          <w:szCs w:val="24"/>
        </w:rPr>
        <w:t xml:space="preserve">. </w:t>
      </w:r>
      <w:proofErr w:type="spellStart"/>
      <w:r w:rsidRPr="005372C3">
        <w:rPr>
          <w:rFonts w:ascii="Times New Roman" w:eastAsia="Times New Roman" w:hAnsi="Times New Roman" w:cs="Times New Roman"/>
          <w:i/>
          <w:iCs/>
          <w:color w:val="000000"/>
          <w:sz w:val="24"/>
          <w:szCs w:val="24"/>
        </w:rPr>
        <w:t>Pubblicazioni</w:t>
      </w:r>
      <w:proofErr w:type="spellEnd"/>
      <w:r w:rsidRPr="005372C3">
        <w:rPr>
          <w:rFonts w:ascii="Times New Roman" w:eastAsia="Times New Roman" w:hAnsi="Times New Roman" w:cs="Times New Roman"/>
          <w:i/>
          <w:iCs/>
          <w:color w:val="000000"/>
          <w:sz w:val="24"/>
          <w:szCs w:val="24"/>
        </w:rPr>
        <w:t xml:space="preserve"> Del R </w:t>
      </w:r>
      <w:proofErr w:type="spellStart"/>
      <w:r w:rsidRPr="005372C3">
        <w:rPr>
          <w:rFonts w:ascii="Times New Roman" w:eastAsia="Times New Roman" w:hAnsi="Times New Roman" w:cs="Times New Roman"/>
          <w:i/>
          <w:iCs/>
          <w:color w:val="000000"/>
          <w:sz w:val="24"/>
          <w:szCs w:val="24"/>
        </w:rPr>
        <w:t>Istituto</w:t>
      </w:r>
      <w:proofErr w:type="spellEnd"/>
      <w:r w:rsidRPr="005372C3">
        <w:rPr>
          <w:rFonts w:ascii="Times New Roman" w:eastAsia="Times New Roman" w:hAnsi="Times New Roman" w:cs="Times New Roman"/>
          <w:i/>
          <w:iCs/>
          <w:color w:val="000000"/>
          <w:sz w:val="24"/>
          <w:szCs w:val="24"/>
        </w:rPr>
        <w:t xml:space="preserve"> </w:t>
      </w:r>
      <w:proofErr w:type="spellStart"/>
      <w:r w:rsidRPr="005372C3">
        <w:rPr>
          <w:rFonts w:ascii="Times New Roman" w:eastAsia="Times New Roman" w:hAnsi="Times New Roman" w:cs="Times New Roman"/>
          <w:i/>
          <w:iCs/>
          <w:color w:val="000000"/>
          <w:sz w:val="24"/>
          <w:szCs w:val="24"/>
        </w:rPr>
        <w:t>Superiore</w:t>
      </w:r>
      <w:proofErr w:type="spellEnd"/>
      <w:r w:rsidRPr="005372C3">
        <w:rPr>
          <w:rFonts w:ascii="Times New Roman" w:eastAsia="Times New Roman" w:hAnsi="Times New Roman" w:cs="Times New Roman"/>
          <w:i/>
          <w:iCs/>
          <w:color w:val="000000"/>
          <w:sz w:val="24"/>
          <w:szCs w:val="24"/>
        </w:rPr>
        <w:t xml:space="preserve"> Di </w:t>
      </w:r>
      <w:proofErr w:type="spellStart"/>
      <w:r w:rsidRPr="005372C3">
        <w:rPr>
          <w:rFonts w:ascii="Times New Roman" w:eastAsia="Times New Roman" w:hAnsi="Times New Roman" w:cs="Times New Roman"/>
          <w:i/>
          <w:iCs/>
          <w:color w:val="000000"/>
          <w:sz w:val="24"/>
          <w:szCs w:val="24"/>
        </w:rPr>
        <w:t>Scienze</w:t>
      </w:r>
      <w:proofErr w:type="spellEnd"/>
      <w:r w:rsidRPr="005372C3">
        <w:rPr>
          <w:rFonts w:ascii="Times New Roman" w:eastAsia="Times New Roman" w:hAnsi="Times New Roman" w:cs="Times New Roman"/>
          <w:i/>
          <w:iCs/>
          <w:color w:val="000000"/>
          <w:sz w:val="24"/>
          <w:szCs w:val="24"/>
        </w:rPr>
        <w:t xml:space="preserve"> </w:t>
      </w:r>
      <w:proofErr w:type="spellStart"/>
      <w:r w:rsidRPr="005372C3">
        <w:rPr>
          <w:rFonts w:ascii="Times New Roman" w:eastAsia="Times New Roman" w:hAnsi="Times New Roman" w:cs="Times New Roman"/>
          <w:i/>
          <w:iCs/>
          <w:color w:val="000000"/>
          <w:sz w:val="24"/>
          <w:szCs w:val="24"/>
        </w:rPr>
        <w:t>Economiche</w:t>
      </w:r>
      <w:proofErr w:type="spellEnd"/>
      <w:r w:rsidRPr="005372C3">
        <w:rPr>
          <w:rFonts w:ascii="Times New Roman" w:eastAsia="Times New Roman" w:hAnsi="Times New Roman" w:cs="Times New Roman"/>
          <w:i/>
          <w:iCs/>
          <w:color w:val="000000"/>
          <w:sz w:val="24"/>
          <w:szCs w:val="24"/>
        </w:rPr>
        <w:t xml:space="preserve"> E </w:t>
      </w:r>
      <w:proofErr w:type="spellStart"/>
      <w:r w:rsidRPr="005372C3">
        <w:rPr>
          <w:rFonts w:ascii="Times New Roman" w:eastAsia="Times New Roman" w:hAnsi="Times New Roman" w:cs="Times New Roman"/>
          <w:i/>
          <w:iCs/>
          <w:color w:val="000000"/>
          <w:sz w:val="24"/>
          <w:szCs w:val="24"/>
        </w:rPr>
        <w:t>Commerciali</w:t>
      </w:r>
      <w:proofErr w:type="spellEnd"/>
      <w:r w:rsidRPr="005372C3">
        <w:rPr>
          <w:rFonts w:ascii="Times New Roman" w:eastAsia="Times New Roman" w:hAnsi="Times New Roman" w:cs="Times New Roman"/>
          <w:i/>
          <w:iCs/>
          <w:color w:val="000000"/>
          <w:sz w:val="24"/>
          <w:szCs w:val="24"/>
        </w:rPr>
        <w:t xml:space="preserve"> Di Firenze</w:t>
      </w:r>
      <w:r w:rsidRPr="005372C3">
        <w:rPr>
          <w:rFonts w:ascii="Times New Roman" w:eastAsia="Times New Roman" w:hAnsi="Times New Roman" w:cs="Times New Roman"/>
          <w:color w:val="000000"/>
          <w:sz w:val="24"/>
          <w:szCs w:val="24"/>
        </w:rPr>
        <w:t>.</w:t>
      </w:r>
    </w:p>
    <w:p w14:paraId="0B2FE08E" w14:textId="77777777" w:rsidR="005372C3" w:rsidRPr="005372C3" w:rsidRDefault="005372C3" w:rsidP="005372C3">
      <w:pPr>
        <w:shd w:val="clear" w:color="auto" w:fill="FFFFFF"/>
        <w:spacing w:after="0" w:line="240" w:lineRule="auto"/>
        <w:rPr>
          <w:rFonts w:ascii="Times New Roman" w:eastAsia="Times New Roman" w:hAnsi="Times New Roman" w:cs="Times New Roman"/>
          <w:color w:val="000000"/>
          <w:sz w:val="24"/>
          <w:szCs w:val="24"/>
        </w:rPr>
      </w:pPr>
      <w:r w:rsidRPr="005372C3">
        <w:rPr>
          <w:rFonts w:ascii="Times New Roman" w:eastAsia="Times New Roman" w:hAnsi="Times New Roman" w:cs="Times New Roman"/>
          <w:color w:val="000000"/>
          <w:sz w:val="24"/>
          <w:szCs w:val="24"/>
        </w:rPr>
        <w:t>‌</w:t>
      </w:r>
    </w:p>
    <w:p w14:paraId="7E81FC1B" w14:textId="79ED82FA" w:rsid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 xml:space="preserve">(3), 431–436. </w:t>
      </w:r>
      <w:hyperlink r:id="rId29" w:history="1">
        <w:r w:rsidR="004B0A84" w:rsidRPr="00654208">
          <w:rPr>
            <w:rStyle w:val="Hyperlink"/>
            <w:rFonts w:ascii="Times New Roman" w:eastAsia="Times New Roman" w:hAnsi="Times New Roman" w:cs="Times New Roman"/>
            <w:sz w:val="24"/>
            <w:szCs w:val="24"/>
          </w:rPr>
          <w:t>https://doi.org/10.1038/sj.bjc.6601119</w:t>
        </w:r>
      </w:hyperlink>
    </w:p>
    <w:p w14:paraId="27C6B239" w14:textId="0CB002DC" w:rsidR="00EA3F24" w:rsidRDefault="00EA3F24" w:rsidP="00103D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0FBF980B" w14:textId="77777777" w:rsidR="00EA3F24" w:rsidRPr="00EA3F24" w:rsidRDefault="00EA3F24" w:rsidP="00EA3F24">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EA3F24">
        <w:rPr>
          <w:rFonts w:ascii="Times New Roman" w:eastAsia="Times New Roman" w:hAnsi="Times New Roman" w:cs="Times New Roman"/>
          <w:color w:val="000000"/>
          <w:sz w:val="24"/>
          <w:szCs w:val="24"/>
        </w:rPr>
        <w:t>Breheny</w:t>
      </w:r>
      <w:proofErr w:type="spellEnd"/>
      <w:r w:rsidRPr="00EA3F24">
        <w:rPr>
          <w:rFonts w:ascii="Times New Roman" w:eastAsia="Times New Roman" w:hAnsi="Times New Roman" w:cs="Times New Roman"/>
          <w:color w:val="000000"/>
          <w:sz w:val="24"/>
          <w:szCs w:val="24"/>
        </w:rPr>
        <w:t xml:space="preserve">, P. (2019). Tied survival times Estimating survival probabilities. In </w:t>
      </w:r>
      <w:r w:rsidRPr="00EA3F24">
        <w:rPr>
          <w:rFonts w:ascii="Times New Roman" w:eastAsia="Times New Roman" w:hAnsi="Times New Roman" w:cs="Times New Roman"/>
          <w:i/>
          <w:iCs/>
          <w:color w:val="000000"/>
          <w:sz w:val="24"/>
          <w:szCs w:val="24"/>
        </w:rPr>
        <w:t>https://myweb.uiowa.edu/pbreheny/7210/f15/notes/11-5.pdf</w:t>
      </w:r>
      <w:r w:rsidRPr="00EA3F24">
        <w:rPr>
          <w:rFonts w:ascii="Times New Roman" w:eastAsia="Times New Roman" w:hAnsi="Times New Roman" w:cs="Times New Roman"/>
          <w:color w:val="000000"/>
          <w:sz w:val="24"/>
          <w:szCs w:val="24"/>
        </w:rPr>
        <w:t>. University of Iowa. https://myweb.uiowa.edu/pbreheny/7210/f15/notes/11-5.pdf</w:t>
      </w:r>
    </w:p>
    <w:p w14:paraId="5C773986" w14:textId="26C068A0" w:rsidR="004B0A84" w:rsidRDefault="00EA3F24" w:rsidP="00EA3F24">
      <w:pPr>
        <w:shd w:val="clear" w:color="auto" w:fill="FFFFFF"/>
        <w:spacing w:after="0" w:line="240" w:lineRule="auto"/>
        <w:rPr>
          <w:rFonts w:ascii="Times New Roman" w:eastAsia="Times New Roman" w:hAnsi="Times New Roman" w:cs="Times New Roman"/>
          <w:color w:val="000000"/>
          <w:sz w:val="24"/>
          <w:szCs w:val="24"/>
        </w:rPr>
      </w:pPr>
      <w:r w:rsidRPr="00EA3F24">
        <w:rPr>
          <w:rFonts w:ascii="Times New Roman" w:eastAsia="Times New Roman" w:hAnsi="Times New Roman" w:cs="Times New Roman"/>
          <w:color w:val="000000"/>
          <w:sz w:val="24"/>
          <w:szCs w:val="24"/>
        </w:rPr>
        <w:t>‌</w:t>
      </w:r>
    </w:p>
    <w:p w14:paraId="1583ABEA" w14:textId="345D4155" w:rsidR="004B0A84" w:rsidRPr="00103DF3" w:rsidRDefault="004B0A84"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4B0A84">
        <w:rPr>
          <w:rFonts w:ascii="Times New Roman" w:eastAsia="Times New Roman" w:hAnsi="Times New Roman" w:cs="Times New Roman"/>
          <w:color w:val="000000"/>
          <w:sz w:val="24"/>
          <w:szCs w:val="24"/>
        </w:rPr>
        <w:t xml:space="preserve">Breslow, N. (1972). Discussion of the paper by D. R. Cox. </w:t>
      </w:r>
      <w:r w:rsidRPr="004B0A84">
        <w:rPr>
          <w:rFonts w:ascii="Times New Roman" w:eastAsia="Times New Roman" w:hAnsi="Times New Roman" w:cs="Times New Roman"/>
          <w:i/>
          <w:iCs/>
          <w:color w:val="000000"/>
          <w:sz w:val="24"/>
          <w:szCs w:val="24"/>
        </w:rPr>
        <w:t>J R Statist Soc B</w:t>
      </w:r>
      <w:r w:rsidRPr="004B0A84">
        <w:rPr>
          <w:rFonts w:ascii="Times New Roman" w:eastAsia="Times New Roman" w:hAnsi="Times New Roman" w:cs="Times New Roman"/>
          <w:color w:val="000000"/>
          <w:sz w:val="24"/>
          <w:szCs w:val="24"/>
        </w:rPr>
        <w:t xml:space="preserve">, </w:t>
      </w:r>
      <w:proofErr w:type="gramStart"/>
      <w:r w:rsidRPr="004B0A84">
        <w:rPr>
          <w:rFonts w:ascii="Times New Roman" w:eastAsia="Times New Roman" w:hAnsi="Times New Roman" w:cs="Times New Roman"/>
          <w:i/>
          <w:iCs/>
          <w:color w:val="000000"/>
          <w:sz w:val="24"/>
          <w:szCs w:val="24"/>
        </w:rPr>
        <w:t>B</w:t>
      </w:r>
      <w:r w:rsidRPr="004B0A84">
        <w:rPr>
          <w:rFonts w:ascii="Times New Roman" w:eastAsia="Times New Roman" w:hAnsi="Times New Roman" w:cs="Times New Roman"/>
          <w:color w:val="000000"/>
          <w:sz w:val="24"/>
          <w:szCs w:val="24"/>
        </w:rPr>
        <w:t>(</w:t>
      </w:r>
      <w:proofErr w:type="gramEnd"/>
      <w:r w:rsidRPr="004B0A84">
        <w:rPr>
          <w:rFonts w:ascii="Times New Roman" w:eastAsia="Times New Roman" w:hAnsi="Times New Roman" w:cs="Times New Roman"/>
          <w:color w:val="000000"/>
          <w:sz w:val="24"/>
          <w:szCs w:val="24"/>
        </w:rPr>
        <w:t>34), 216–217. https://dlin.web.unc.edu/wp-content/uploads/sites/1568/2013/04/Lin07.pdf</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30"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31"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32"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35AED">
        <w:rPr>
          <w:rFonts w:ascii="Times New Roman" w:eastAsia="Times New Roman" w:hAnsi="Times New Roman" w:cs="Times New Roman"/>
          <w:color w:val="000000"/>
          <w:sz w:val="24"/>
          <w:szCs w:val="24"/>
        </w:rPr>
        <w:lastRenderedPageBreak/>
        <w:t>Chilamkurthy</w:t>
      </w:r>
      <w:proofErr w:type="spellEnd"/>
      <w:r w:rsidRPr="00535AED">
        <w:rPr>
          <w:rFonts w:ascii="Times New Roman" w:eastAsia="Times New Roman" w:hAnsi="Times New Roman" w:cs="Times New Roman"/>
          <w:color w:val="000000"/>
          <w:sz w:val="24"/>
          <w:szCs w:val="24"/>
        </w:rPr>
        <w:t xml:space="preserve">,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33"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w:t>
      </w:r>
      <w:proofErr w:type="spellStart"/>
      <w:r w:rsidRPr="00F3537D">
        <w:rPr>
          <w:rFonts w:ascii="Times New Roman" w:eastAsia="Times New Roman" w:hAnsi="Times New Roman" w:cs="Times New Roman"/>
          <w:color w:val="000000"/>
          <w:sz w:val="24"/>
          <w:szCs w:val="24"/>
        </w:rPr>
        <w:t>Crc</w:t>
      </w:r>
      <w:proofErr w:type="spellEnd"/>
      <w:r w:rsidRPr="00F3537D">
        <w:rPr>
          <w:rFonts w:ascii="Times New Roman" w:eastAsia="Times New Roman" w:hAnsi="Times New Roman" w:cs="Times New Roman"/>
          <w:color w:val="000000"/>
          <w:sz w:val="24"/>
          <w:szCs w:val="24"/>
        </w:rPr>
        <w:t xml:space="preserve">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w:t>
      </w:r>
      <w:proofErr w:type="gramStart"/>
      <w:r w:rsidRPr="00161F00">
        <w:rPr>
          <w:rFonts w:ascii="Times New Roman" w:eastAsia="Times New Roman" w:hAnsi="Times New Roman" w:cs="Times New Roman"/>
          <w:color w:val="000000"/>
          <w:sz w:val="24"/>
          <w:szCs w:val="24"/>
        </w:rPr>
        <w:t>Life-Tables</w:t>
      </w:r>
      <w:proofErr w:type="gramEnd"/>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34"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35"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6334B76E" w14:textId="0CE5B3F0" w:rsidR="002838FC" w:rsidRDefault="00504AD7" w:rsidP="006F1B9E">
      <w:pPr>
        <w:shd w:val="clear" w:color="auto" w:fill="FFFFFF"/>
        <w:spacing w:after="0" w:line="240" w:lineRule="auto"/>
        <w:ind w:left="720" w:hanging="720"/>
        <w:rPr>
          <w:rFonts w:ascii="Times New Roman" w:eastAsia="Times New Roman" w:hAnsi="Times New Roman" w:cs="Times New Roman"/>
          <w:color w:val="000000"/>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xml:space="preserve">. </w:t>
      </w:r>
      <w:hyperlink r:id="rId36" w:history="1">
        <w:r w:rsidR="002838FC" w:rsidRPr="00476527">
          <w:rPr>
            <w:rStyle w:val="Hyperlink"/>
            <w:rFonts w:ascii="Times New Roman" w:eastAsia="Times New Roman" w:hAnsi="Times New Roman" w:cs="Times New Roman"/>
            <w:sz w:val="24"/>
            <w:szCs w:val="24"/>
          </w:rPr>
          <w:t>https://www.jax.org/news-and-insights/2015/december/the-evolution-of-high-throughput-genome-sequencing#</w:t>
        </w:r>
      </w:hyperlink>
    </w:p>
    <w:p w14:paraId="5F2AF4A1" w14:textId="77777777" w:rsidR="002838FC" w:rsidRDefault="002838FC" w:rsidP="006F1B9E">
      <w:pPr>
        <w:shd w:val="clear" w:color="auto" w:fill="FFFFFF"/>
        <w:spacing w:after="0" w:line="240" w:lineRule="auto"/>
        <w:ind w:left="720" w:hanging="720"/>
        <w:rPr>
          <w:rFonts w:ascii="Times New Roman" w:eastAsia="Times New Roman" w:hAnsi="Times New Roman" w:cs="Times New Roman"/>
          <w:color w:val="000000"/>
          <w:sz w:val="24"/>
          <w:szCs w:val="24"/>
        </w:rPr>
      </w:pPr>
    </w:p>
    <w:p w14:paraId="48513FBC" w14:textId="77777777" w:rsidR="002838FC" w:rsidRPr="002838FC" w:rsidRDefault="002838FC" w:rsidP="002838FC">
      <w:pPr>
        <w:shd w:val="clear" w:color="auto" w:fill="FFFFFF"/>
        <w:spacing w:after="0" w:line="240" w:lineRule="auto"/>
        <w:ind w:left="720" w:hanging="720"/>
        <w:rPr>
          <w:rFonts w:ascii="Times New Roman" w:eastAsia="Times New Roman" w:hAnsi="Times New Roman" w:cs="Times New Roman"/>
          <w:color w:val="000000"/>
          <w:sz w:val="24"/>
          <w:szCs w:val="24"/>
        </w:rPr>
      </w:pPr>
      <w:r w:rsidRPr="002838FC">
        <w:rPr>
          <w:rFonts w:ascii="Times New Roman" w:eastAsia="Times New Roman" w:hAnsi="Times New Roman" w:cs="Times New Roman"/>
          <w:color w:val="000000"/>
          <w:sz w:val="24"/>
          <w:szCs w:val="24"/>
        </w:rPr>
        <w:t xml:space="preserve">De </w:t>
      </w:r>
      <w:proofErr w:type="spellStart"/>
      <w:r w:rsidRPr="002838FC">
        <w:rPr>
          <w:rFonts w:ascii="Times New Roman" w:eastAsia="Times New Roman" w:hAnsi="Times New Roman" w:cs="Times New Roman"/>
          <w:color w:val="000000"/>
          <w:sz w:val="24"/>
          <w:szCs w:val="24"/>
        </w:rPr>
        <w:t>Weck</w:t>
      </w:r>
      <w:proofErr w:type="spellEnd"/>
      <w:r w:rsidRPr="002838FC">
        <w:rPr>
          <w:rFonts w:ascii="Times New Roman" w:eastAsia="Times New Roman" w:hAnsi="Times New Roman" w:cs="Times New Roman"/>
          <w:color w:val="000000"/>
          <w:sz w:val="24"/>
          <w:szCs w:val="24"/>
        </w:rPr>
        <w:t xml:space="preserve">, A., </w:t>
      </w:r>
      <w:proofErr w:type="spellStart"/>
      <w:r w:rsidRPr="002838FC">
        <w:rPr>
          <w:rFonts w:ascii="Times New Roman" w:eastAsia="Times New Roman" w:hAnsi="Times New Roman" w:cs="Times New Roman"/>
          <w:color w:val="000000"/>
          <w:sz w:val="24"/>
          <w:szCs w:val="24"/>
        </w:rPr>
        <w:t>Golji</w:t>
      </w:r>
      <w:proofErr w:type="spellEnd"/>
      <w:r w:rsidRPr="002838FC">
        <w:rPr>
          <w:rFonts w:ascii="Times New Roman" w:eastAsia="Times New Roman" w:hAnsi="Times New Roman" w:cs="Times New Roman"/>
          <w:color w:val="000000"/>
          <w:sz w:val="24"/>
          <w:szCs w:val="24"/>
        </w:rPr>
        <w:t xml:space="preserve">, J., Jones, M. D., Korn, J. M., Billy, E., McDonald, E. R., </w:t>
      </w:r>
      <w:proofErr w:type="spellStart"/>
      <w:r w:rsidRPr="002838FC">
        <w:rPr>
          <w:rFonts w:ascii="Times New Roman" w:eastAsia="Times New Roman" w:hAnsi="Times New Roman" w:cs="Times New Roman"/>
          <w:color w:val="000000"/>
          <w:sz w:val="24"/>
          <w:szCs w:val="24"/>
        </w:rPr>
        <w:t>Schmelzle</w:t>
      </w:r>
      <w:proofErr w:type="spellEnd"/>
      <w:r w:rsidRPr="002838FC">
        <w:rPr>
          <w:rFonts w:ascii="Times New Roman" w:eastAsia="Times New Roman" w:hAnsi="Times New Roman" w:cs="Times New Roman"/>
          <w:color w:val="000000"/>
          <w:sz w:val="24"/>
          <w:szCs w:val="24"/>
        </w:rPr>
        <w:t xml:space="preserve">, T., Bitter, H., &amp; Kauffmann, A. (2018). Correction of copy number induced false positives in CRISPR screens. </w:t>
      </w:r>
      <w:r w:rsidRPr="002838FC">
        <w:rPr>
          <w:rFonts w:ascii="Times New Roman" w:eastAsia="Times New Roman" w:hAnsi="Times New Roman" w:cs="Times New Roman"/>
          <w:i/>
          <w:iCs/>
          <w:color w:val="000000"/>
          <w:sz w:val="24"/>
          <w:szCs w:val="24"/>
        </w:rPr>
        <w:t>PLOS Computational Biology</w:t>
      </w:r>
      <w:r w:rsidRPr="002838FC">
        <w:rPr>
          <w:rFonts w:ascii="Times New Roman" w:eastAsia="Times New Roman" w:hAnsi="Times New Roman" w:cs="Times New Roman"/>
          <w:color w:val="000000"/>
          <w:sz w:val="24"/>
          <w:szCs w:val="24"/>
        </w:rPr>
        <w:t xml:space="preserve">, </w:t>
      </w:r>
      <w:r w:rsidRPr="002838FC">
        <w:rPr>
          <w:rFonts w:ascii="Times New Roman" w:eastAsia="Times New Roman" w:hAnsi="Times New Roman" w:cs="Times New Roman"/>
          <w:i/>
          <w:iCs/>
          <w:color w:val="000000"/>
          <w:sz w:val="24"/>
          <w:szCs w:val="24"/>
        </w:rPr>
        <w:t>14</w:t>
      </w:r>
      <w:r w:rsidRPr="002838FC">
        <w:rPr>
          <w:rFonts w:ascii="Times New Roman" w:eastAsia="Times New Roman" w:hAnsi="Times New Roman" w:cs="Times New Roman"/>
          <w:color w:val="000000"/>
          <w:sz w:val="24"/>
          <w:szCs w:val="24"/>
        </w:rPr>
        <w:t>(7), e1006279. https://doi.org/10.1371/journal.pcbi.1006279</w:t>
      </w:r>
    </w:p>
    <w:p w14:paraId="43729BC7" w14:textId="53BC97AF" w:rsidR="00646509" w:rsidRPr="00886C0A" w:rsidRDefault="002838FC" w:rsidP="002838FC">
      <w:pPr>
        <w:shd w:val="clear" w:color="auto" w:fill="FFFFFF"/>
        <w:spacing w:after="0" w:line="240" w:lineRule="auto"/>
        <w:rPr>
          <w:rFonts w:ascii="Times New Roman" w:hAnsi="Times New Roman" w:cs="Times New Roman"/>
          <w:sz w:val="24"/>
          <w:szCs w:val="24"/>
        </w:rPr>
      </w:pPr>
      <w:r w:rsidRPr="002838FC">
        <w:rPr>
          <w:rFonts w:ascii="Times New Roman" w:eastAsia="Times New Roman" w:hAnsi="Times New Roman" w:cs="Times New Roman"/>
          <w:color w:val="000000"/>
          <w:sz w:val="24"/>
          <w:szCs w:val="24"/>
        </w:rPr>
        <w:t>‌</w:t>
      </w:r>
      <w:r w:rsidR="006F1B9E" w:rsidRPr="00886C0A">
        <w:rPr>
          <w:rFonts w:ascii="Times New Roman" w:eastAsia="Times New Roman" w:hAnsi="Times New Roman" w:cs="Times New Roman"/>
          <w:color w:val="000000"/>
          <w:sz w:val="24"/>
          <w:szCs w:val="24"/>
        </w:rP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37"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38"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proofErr w:type="spellStart"/>
      <w:r w:rsidRPr="00F7262A">
        <w:rPr>
          <w:rFonts w:ascii="Times New Roman" w:eastAsia="Times New Roman" w:hAnsi="Times New Roman" w:cs="Times New Roman"/>
          <w:i/>
          <w:iCs/>
          <w:color w:val="000000"/>
          <w:sz w:val="24"/>
          <w:szCs w:val="24"/>
        </w:rPr>
        <w:t>Statisical</w:t>
      </w:r>
      <w:proofErr w:type="spellEnd"/>
      <w:r w:rsidRPr="00F7262A">
        <w:rPr>
          <w:rFonts w:ascii="Times New Roman" w:eastAsia="Times New Roman" w:hAnsi="Times New Roman" w:cs="Times New Roman"/>
          <w:i/>
          <w:iCs/>
          <w:color w:val="000000"/>
          <w:sz w:val="24"/>
          <w:szCs w:val="24"/>
        </w:rPr>
        <w:t xml:space="preserve">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lastRenderedPageBreak/>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632AF298" w:rsidR="00A369B7"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39" w:history="1">
        <w:r w:rsidRPr="00886C0A">
          <w:rPr>
            <w:rStyle w:val="Hyperlink"/>
          </w:rPr>
          <w:t>https://doi.org/10.1002/ijc.29815</w:t>
        </w:r>
      </w:hyperlink>
    </w:p>
    <w:p w14:paraId="16F1EE75" w14:textId="77777777" w:rsidR="005D5DC8" w:rsidRPr="005D5DC8" w:rsidRDefault="005D5DC8" w:rsidP="005D5DC8">
      <w:pPr>
        <w:shd w:val="clear" w:color="auto" w:fill="FFFFFF"/>
        <w:spacing w:after="0" w:line="240" w:lineRule="auto"/>
        <w:ind w:left="720" w:hanging="720"/>
        <w:rPr>
          <w:rFonts w:ascii="Times New Roman" w:eastAsia="Times New Roman" w:hAnsi="Times New Roman" w:cs="Times New Roman"/>
          <w:color w:val="000000"/>
          <w:sz w:val="24"/>
          <w:szCs w:val="24"/>
        </w:rPr>
      </w:pPr>
      <w:r w:rsidRPr="005D5DC8">
        <w:rPr>
          <w:rFonts w:ascii="Times New Roman" w:eastAsia="Times New Roman" w:hAnsi="Times New Roman" w:cs="Times New Roman"/>
          <w:color w:val="000000"/>
          <w:sz w:val="24"/>
          <w:szCs w:val="24"/>
        </w:rPr>
        <w:t xml:space="preserve">Gao, G. F., Parker, J. S., Reynolds, S. M., Silva, T. C., Wang, L.-B., Zhou, W., </w:t>
      </w:r>
      <w:proofErr w:type="spellStart"/>
      <w:r w:rsidRPr="005D5DC8">
        <w:rPr>
          <w:rFonts w:ascii="Times New Roman" w:eastAsia="Times New Roman" w:hAnsi="Times New Roman" w:cs="Times New Roman"/>
          <w:color w:val="000000"/>
          <w:sz w:val="24"/>
          <w:szCs w:val="24"/>
        </w:rPr>
        <w:t>Akbani</w:t>
      </w:r>
      <w:proofErr w:type="spellEnd"/>
      <w:r w:rsidRPr="005D5DC8">
        <w:rPr>
          <w:rFonts w:ascii="Times New Roman" w:eastAsia="Times New Roman" w:hAnsi="Times New Roman" w:cs="Times New Roman"/>
          <w:color w:val="000000"/>
          <w:sz w:val="24"/>
          <w:szCs w:val="24"/>
        </w:rPr>
        <w:t xml:space="preserve">, R., Bailey, M., </w:t>
      </w:r>
      <w:proofErr w:type="spellStart"/>
      <w:r w:rsidRPr="005D5DC8">
        <w:rPr>
          <w:rFonts w:ascii="Times New Roman" w:eastAsia="Times New Roman" w:hAnsi="Times New Roman" w:cs="Times New Roman"/>
          <w:color w:val="000000"/>
          <w:sz w:val="24"/>
          <w:szCs w:val="24"/>
        </w:rPr>
        <w:t>Balu</w:t>
      </w:r>
      <w:proofErr w:type="spellEnd"/>
      <w:r w:rsidRPr="005D5DC8">
        <w:rPr>
          <w:rFonts w:ascii="Times New Roman" w:eastAsia="Times New Roman" w:hAnsi="Times New Roman" w:cs="Times New Roman"/>
          <w:color w:val="000000"/>
          <w:sz w:val="24"/>
          <w:szCs w:val="24"/>
        </w:rPr>
        <w:t xml:space="preserve">, S., Berman, B. P., Brooks, D., Chen, H., </w:t>
      </w:r>
      <w:proofErr w:type="spellStart"/>
      <w:r w:rsidRPr="005D5DC8">
        <w:rPr>
          <w:rFonts w:ascii="Times New Roman" w:eastAsia="Times New Roman" w:hAnsi="Times New Roman" w:cs="Times New Roman"/>
          <w:color w:val="000000"/>
          <w:sz w:val="24"/>
          <w:szCs w:val="24"/>
        </w:rPr>
        <w:t>Cherniack</w:t>
      </w:r>
      <w:proofErr w:type="spellEnd"/>
      <w:r w:rsidRPr="005D5DC8">
        <w:rPr>
          <w:rFonts w:ascii="Times New Roman" w:eastAsia="Times New Roman" w:hAnsi="Times New Roman" w:cs="Times New Roman"/>
          <w:color w:val="000000"/>
          <w:sz w:val="24"/>
          <w:szCs w:val="24"/>
        </w:rPr>
        <w:t xml:space="preserve">, A. D., </w:t>
      </w:r>
      <w:proofErr w:type="spellStart"/>
      <w:r w:rsidRPr="005D5DC8">
        <w:rPr>
          <w:rFonts w:ascii="Times New Roman" w:eastAsia="Times New Roman" w:hAnsi="Times New Roman" w:cs="Times New Roman"/>
          <w:color w:val="000000"/>
          <w:sz w:val="24"/>
          <w:szCs w:val="24"/>
        </w:rPr>
        <w:t>Demchok</w:t>
      </w:r>
      <w:proofErr w:type="spellEnd"/>
      <w:r w:rsidRPr="005D5DC8">
        <w:rPr>
          <w:rFonts w:ascii="Times New Roman" w:eastAsia="Times New Roman" w:hAnsi="Times New Roman" w:cs="Times New Roman"/>
          <w:color w:val="000000"/>
          <w:sz w:val="24"/>
          <w:szCs w:val="24"/>
        </w:rPr>
        <w:t xml:space="preserve">, J. A., Ding, L., </w:t>
      </w:r>
      <w:proofErr w:type="spellStart"/>
      <w:r w:rsidRPr="005D5DC8">
        <w:rPr>
          <w:rFonts w:ascii="Times New Roman" w:eastAsia="Times New Roman" w:hAnsi="Times New Roman" w:cs="Times New Roman"/>
          <w:color w:val="000000"/>
          <w:sz w:val="24"/>
          <w:szCs w:val="24"/>
        </w:rPr>
        <w:t>Felau</w:t>
      </w:r>
      <w:proofErr w:type="spellEnd"/>
      <w:r w:rsidRPr="005D5DC8">
        <w:rPr>
          <w:rFonts w:ascii="Times New Roman" w:eastAsia="Times New Roman" w:hAnsi="Times New Roman" w:cs="Times New Roman"/>
          <w:color w:val="000000"/>
          <w:sz w:val="24"/>
          <w:szCs w:val="24"/>
        </w:rPr>
        <w:t xml:space="preserve">, I., </w:t>
      </w:r>
      <w:proofErr w:type="spellStart"/>
      <w:r w:rsidRPr="005D5DC8">
        <w:rPr>
          <w:rFonts w:ascii="Times New Roman" w:eastAsia="Times New Roman" w:hAnsi="Times New Roman" w:cs="Times New Roman"/>
          <w:color w:val="000000"/>
          <w:sz w:val="24"/>
          <w:szCs w:val="24"/>
        </w:rPr>
        <w:t>Gaheen</w:t>
      </w:r>
      <w:proofErr w:type="spellEnd"/>
      <w:r w:rsidRPr="005D5DC8">
        <w:rPr>
          <w:rFonts w:ascii="Times New Roman" w:eastAsia="Times New Roman" w:hAnsi="Times New Roman" w:cs="Times New Roman"/>
          <w:color w:val="000000"/>
          <w:sz w:val="24"/>
          <w:szCs w:val="24"/>
        </w:rPr>
        <w:t xml:space="preserve">, S., Gerhard, D. S., Heiman, D. I., &amp; Hernandez, K. M. (2019). Before and After: Comparison of Legacy and Harmonized TCGA Genomic Data Commons’ Data. </w:t>
      </w:r>
      <w:r w:rsidRPr="005D5DC8">
        <w:rPr>
          <w:rFonts w:ascii="Times New Roman" w:eastAsia="Times New Roman" w:hAnsi="Times New Roman" w:cs="Times New Roman"/>
          <w:i/>
          <w:iCs/>
          <w:color w:val="000000"/>
          <w:sz w:val="24"/>
          <w:szCs w:val="24"/>
        </w:rPr>
        <w:t>Cell Systems</w:t>
      </w:r>
      <w:r w:rsidRPr="005D5DC8">
        <w:rPr>
          <w:rFonts w:ascii="Times New Roman" w:eastAsia="Times New Roman" w:hAnsi="Times New Roman" w:cs="Times New Roman"/>
          <w:color w:val="000000"/>
          <w:sz w:val="24"/>
          <w:szCs w:val="24"/>
        </w:rPr>
        <w:t xml:space="preserve">, </w:t>
      </w:r>
      <w:r w:rsidRPr="005D5DC8">
        <w:rPr>
          <w:rFonts w:ascii="Times New Roman" w:eastAsia="Times New Roman" w:hAnsi="Times New Roman" w:cs="Times New Roman"/>
          <w:i/>
          <w:iCs/>
          <w:color w:val="000000"/>
          <w:sz w:val="24"/>
          <w:szCs w:val="24"/>
        </w:rPr>
        <w:t>9</w:t>
      </w:r>
      <w:r w:rsidRPr="005D5DC8">
        <w:rPr>
          <w:rFonts w:ascii="Times New Roman" w:eastAsia="Times New Roman" w:hAnsi="Times New Roman" w:cs="Times New Roman"/>
          <w:color w:val="000000"/>
          <w:sz w:val="24"/>
          <w:szCs w:val="24"/>
        </w:rPr>
        <w:t>(1), 24-</w:t>
      </w:r>
      <w:proofErr w:type="gramStart"/>
      <w:r w:rsidRPr="005D5DC8">
        <w:rPr>
          <w:rFonts w:ascii="Times New Roman" w:eastAsia="Times New Roman" w:hAnsi="Times New Roman" w:cs="Times New Roman"/>
          <w:color w:val="000000"/>
          <w:sz w:val="24"/>
          <w:szCs w:val="24"/>
        </w:rPr>
        <w:t>34.e</w:t>
      </w:r>
      <w:proofErr w:type="gramEnd"/>
      <w:r w:rsidRPr="005D5DC8">
        <w:rPr>
          <w:rFonts w:ascii="Times New Roman" w:eastAsia="Times New Roman" w:hAnsi="Times New Roman" w:cs="Times New Roman"/>
          <w:color w:val="000000"/>
          <w:sz w:val="24"/>
          <w:szCs w:val="24"/>
        </w:rPr>
        <w:t>10. https://doi.org/10.1016/j.cels.2019.06.006</w:t>
      </w:r>
    </w:p>
    <w:p w14:paraId="5E5D5C91" w14:textId="26D34C57" w:rsidR="005D5DC8" w:rsidRDefault="005D5DC8" w:rsidP="005D5DC8">
      <w:pPr>
        <w:shd w:val="clear" w:color="auto" w:fill="FFFFFF"/>
        <w:spacing w:after="0" w:line="240" w:lineRule="auto"/>
        <w:rPr>
          <w:rStyle w:val="Hyperlink"/>
        </w:rPr>
      </w:pPr>
      <w:r w:rsidRPr="005D5DC8">
        <w:rPr>
          <w:rFonts w:ascii="Times New Roman" w:eastAsia="Times New Roman" w:hAnsi="Times New Roman" w:cs="Times New Roman"/>
          <w:color w:val="000000"/>
          <w:sz w:val="24"/>
          <w:szCs w:val="24"/>
        </w:rPr>
        <w:t>‌</w:t>
      </w:r>
    </w:p>
    <w:p w14:paraId="5668625B" w14:textId="77777777" w:rsidR="00F4049C" w:rsidRDefault="001643BC" w:rsidP="001643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40" w:history="1">
        <w:r w:rsidRPr="001643BC">
          <w:rPr>
            <w:rStyle w:val="Hyperlink"/>
            <w:rFonts w:ascii="Times New Roman" w:eastAsia="Times New Roman" w:hAnsi="Times New Roman" w:cs="Times New Roman"/>
            <w:sz w:val="24"/>
            <w:szCs w:val="24"/>
          </w:rPr>
          <w:t>https://doi.org/10.1200/jco.2005.10.042</w:t>
        </w:r>
      </w:hyperlink>
    </w:p>
    <w:p w14:paraId="6865A8A6" w14:textId="77777777" w:rsidR="00F4049C" w:rsidRDefault="00F4049C" w:rsidP="001643BC">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590CDDEF" w14:textId="575C90C4" w:rsidR="00F4049C" w:rsidRDefault="00F4049C" w:rsidP="00F4049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F4049C">
        <w:rPr>
          <w:rFonts w:ascii="Times New Roman" w:eastAsia="Times New Roman" w:hAnsi="Times New Roman" w:cs="Times New Roman"/>
          <w:i/>
          <w:iCs/>
          <w:color w:val="000000"/>
          <w:sz w:val="24"/>
          <w:szCs w:val="24"/>
        </w:rPr>
        <w:t>GeneCards</w:t>
      </w:r>
      <w:proofErr w:type="spellEnd"/>
      <w:r w:rsidRPr="00F4049C">
        <w:rPr>
          <w:rFonts w:ascii="Times New Roman" w:eastAsia="Times New Roman" w:hAnsi="Times New Roman" w:cs="Times New Roman"/>
          <w:i/>
          <w:iCs/>
          <w:color w:val="000000"/>
          <w:sz w:val="24"/>
          <w:szCs w:val="24"/>
        </w:rPr>
        <w:t xml:space="preserve"> - COL12A1</w:t>
      </w:r>
      <w:r w:rsidRPr="00F4049C">
        <w:rPr>
          <w:rFonts w:ascii="Times New Roman" w:eastAsia="Times New Roman" w:hAnsi="Times New Roman" w:cs="Times New Roman"/>
          <w:color w:val="000000"/>
          <w:sz w:val="24"/>
          <w:szCs w:val="24"/>
        </w:rPr>
        <w:t xml:space="preserve">. (2021). Genecards.org. </w:t>
      </w:r>
      <w:hyperlink r:id="rId41" w:history="1">
        <w:r w:rsidR="002C06B5" w:rsidRPr="00F4049C">
          <w:rPr>
            <w:rStyle w:val="Hyperlink"/>
            <w:rFonts w:ascii="Times New Roman" w:eastAsia="Times New Roman" w:hAnsi="Times New Roman" w:cs="Times New Roman"/>
            <w:sz w:val="24"/>
            <w:szCs w:val="24"/>
          </w:rPr>
          <w:t>https://www.genecards.org/cgi-bin/carddisp.pl?gene=COL12A1</w:t>
        </w:r>
      </w:hyperlink>
    </w:p>
    <w:p w14:paraId="2FFA36FF" w14:textId="152A8945" w:rsidR="002C06B5" w:rsidRDefault="002C06B5" w:rsidP="00F4049C">
      <w:pPr>
        <w:shd w:val="clear" w:color="auto" w:fill="FFFFFF"/>
        <w:spacing w:after="0" w:line="240" w:lineRule="auto"/>
        <w:ind w:left="720" w:hanging="720"/>
        <w:rPr>
          <w:rFonts w:ascii="Times New Roman" w:eastAsia="Times New Roman" w:hAnsi="Times New Roman" w:cs="Times New Roman"/>
          <w:color w:val="000000"/>
          <w:sz w:val="24"/>
          <w:szCs w:val="24"/>
        </w:rPr>
      </w:pPr>
    </w:p>
    <w:p w14:paraId="2FB78D7E" w14:textId="6EFB816B" w:rsidR="002C06B5" w:rsidRDefault="002C06B5" w:rsidP="002C06B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2C06B5">
        <w:rPr>
          <w:rFonts w:ascii="Times New Roman" w:eastAsia="Times New Roman" w:hAnsi="Times New Roman" w:cs="Times New Roman"/>
          <w:i/>
          <w:iCs/>
          <w:color w:val="000000"/>
          <w:sz w:val="24"/>
          <w:szCs w:val="24"/>
        </w:rPr>
        <w:t>GeneCards</w:t>
      </w:r>
      <w:proofErr w:type="spellEnd"/>
      <w:r w:rsidRPr="002C06B5">
        <w:rPr>
          <w:rFonts w:ascii="Times New Roman" w:eastAsia="Times New Roman" w:hAnsi="Times New Roman" w:cs="Times New Roman"/>
          <w:i/>
          <w:iCs/>
          <w:color w:val="000000"/>
          <w:sz w:val="24"/>
          <w:szCs w:val="24"/>
        </w:rPr>
        <w:t xml:space="preserve"> - COL4A3BP</w:t>
      </w:r>
      <w:r w:rsidRPr="002C06B5">
        <w:rPr>
          <w:rFonts w:ascii="Times New Roman" w:eastAsia="Times New Roman" w:hAnsi="Times New Roman" w:cs="Times New Roman"/>
          <w:color w:val="000000"/>
          <w:sz w:val="24"/>
          <w:szCs w:val="24"/>
        </w:rPr>
        <w:t xml:space="preserve">. (2021). Genecards.org. </w:t>
      </w:r>
      <w:hyperlink r:id="rId42" w:history="1">
        <w:r w:rsidR="000E4FCC" w:rsidRPr="002C06B5">
          <w:rPr>
            <w:rStyle w:val="Hyperlink"/>
            <w:rFonts w:ascii="Times New Roman" w:eastAsia="Times New Roman" w:hAnsi="Times New Roman" w:cs="Times New Roman"/>
            <w:sz w:val="24"/>
            <w:szCs w:val="24"/>
          </w:rPr>
          <w:t>https://www.genecards.org/cgi-bin/carddisp.pl?gene=CERT1</w:t>
        </w:r>
      </w:hyperlink>
    </w:p>
    <w:p w14:paraId="7C9BE637" w14:textId="001EDE06" w:rsidR="000E4FCC" w:rsidRDefault="000E4FCC" w:rsidP="002C06B5">
      <w:pPr>
        <w:shd w:val="clear" w:color="auto" w:fill="FFFFFF"/>
        <w:spacing w:after="0" w:line="240" w:lineRule="auto"/>
        <w:ind w:left="720" w:hanging="720"/>
        <w:rPr>
          <w:rFonts w:ascii="Times New Roman" w:eastAsia="Times New Roman" w:hAnsi="Times New Roman" w:cs="Times New Roman"/>
          <w:color w:val="000000"/>
          <w:sz w:val="24"/>
          <w:szCs w:val="24"/>
        </w:rPr>
      </w:pPr>
    </w:p>
    <w:p w14:paraId="4809E19A" w14:textId="77777777" w:rsidR="000E4FCC" w:rsidRPr="000E4FCC" w:rsidRDefault="000E4FCC" w:rsidP="000E4FC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0E4FCC">
        <w:rPr>
          <w:rFonts w:ascii="Times New Roman" w:eastAsia="Times New Roman" w:hAnsi="Times New Roman" w:cs="Times New Roman"/>
          <w:i/>
          <w:iCs/>
          <w:color w:val="000000"/>
          <w:sz w:val="24"/>
          <w:szCs w:val="24"/>
        </w:rPr>
        <w:t>GeneCards</w:t>
      </w:r>
      <w:proofErr w:type="spellEnd"/>
      <w:r w:rsidRPr="000E4FCC">
        <w:rPr>
          <w:rFonts w:ascii="Times New Roman" w:eastAsia="Times New Roman" w:hAnsi="Times New Roman" w:cs="Times New Roman"/>
          <w:i/>
          <w:iCs/>
          <w:color w:val="000000"/>
          <w:sz w:val="24"/>
          <w:szCs w:val="24"/>
        </w:rPr>
        <w:t xml:space="preserve"> - COL5A3</w:t>
      </w:r>
      <w:r w:rsidRPr="000E4FCC">
        <w:rPr>
          <w:rFonts w:ascii="Times New Roman" w:eastAsia="Times New Roman" w:hAnsi="Times New Roman" w:cs="Times New Roman"/>
          <w:color w:val="000000"/>
          <w:sz w:val="24"/>
          <w:szCs w:val="24"/>
        </w:rPr>
        <w:t>. (2021). Genecards.org. https://www.genecards.org/cgi-bin/carddisp.pl?gene=COL5A3</w:t>
      </w:r>
    </w:p>
    <w:p w14:paraId="2FBBDA17" w14:textId="3D2E72F8" w:rsidR="002C06B5" w:rsidRPr="002C06B5" w:rsidRDefault="000E4FCC" w:rsidP="002C06B5">
      <w:pPr>
        <w:shd w:val="clear" w:color="auto" w:fill="FFFFFF"/>
        <w:spacing w:after="0" w:line="240" w:lineRule="auto"/>
        <w:rPr>
          <w:rFonts w:ascii="Times New Roman" w:eastAsia="Times New Roman" w:hAnsi="Times New Roman" w:cs="Times New Roman"/>
          <w:color w:val="000000"/>
          <w:sz w:val="24"/>
          <w:szCs w:val="24"/>
        </w:rPr>
      </w:pPr>
      <w:r w:rsidRPr="000E4FCC">
        <w:rPr>
          <w:rFonts w:ascii="Times New Roman" w:eastAsia="Times New Roman" w:hAnsi="Times New Roman" w:cs="Times New Roman"/>
          <w:color w:val="000000"/>
          <w:sz w:val="24"/>
          <w:szCs w:val="24"/>
        </w:rPr>
        <w:t>‌</w:t>
      </w:r>
      <w:r w:rsidR="002C06B5" w:rsidRPr="002C06B5">
        <w:rPr>
          <w:rFonts w:ascii="Times New Roman" w:eastAsia="Times New Roman" w:hAnsi="Times New Roman" w:cs="Times New Roman"/>
          <w:color w:val="000000"/>
          <w:sz w:val="24"/>
          <w:szCs w:val="24"/>
        </w:rPr>
        <w:t>‌</w:t>
      </w:r>
    </w:p>
    <w:p w14:paraId="4C7A0289" w14:textId="24961F19"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43" w:history="1">
        <w:r w:rsidR="00590C65" w:rsidRPr="000F646F">
          <w:rPr>
            <w:rStyle w:val="Hyperlink"/>
          </w:rPr>
          <w:t>https://ghr.nlm.nih.gov/primer/basics/gene</w:t>
        </w:r>
      </w:hyperlink>
    </w:p>
    <w:p w14:paraId="2E33B662" w14:textId="10E89F34" w:rsidR="00860DF2" w:rsidRDefault="00860DF2" w:rsidP="00A369B7">
      <w:pPr>
        <w:pStyle w:val="NormalWeb"/>
        <w:shd w:val="clear" w:color="auto" w:fill="FFFFFF"/>
        <w:spacing w:before="0" w:beforeAutospacing="0" w:after="0" w:afterAutospacing="0"/>
        <w:ind w:left="720" w:hanging="720"/>
        <w:rPr>
          <w:rStyle w:val="Hyperlink"/>
        </w:rPr>
      </w:pPr>
    </w:p>
    <w:p w14:paraId="7EC1389E" w14:textId="77777777" w:rsidR="00860DF2" w:rsidRPr="00860DF2" w:rsidRDefault="00860DF2" w:rsidP="00860DF2">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860DF2">
        <w:rPr>
          <w:rFonts w:ascii="Times New Roman" w:eastAsia="Times New Roman" w:hAnsi="Times New Roman" w:cs="Times New Roman"/>
          <w:color w:val="000000"/>
          <w:sz w:val="24"/>
          <w:szCs w:val="24"/>
        </w:rPr>
        <w:t>Gosset</w:t>
      </w:r>
      <w:proofErr w:type="spellEnd"/>
      <w:r w:rsidRPr="00860DF2">
        <w:rPr>
          <w:rFonts w:ascii="Times New Roman" w:eastAsia="Times New Roman" w:hAnsi="Times New Roman" w:cs="Times New Roman"/>
          <w:color w:val="000000"/>
          <w:sz w:val="24"/>
          <w:szCs w:val="24"/>
        </w:rPr>
        <w:t xml:space="preserve">, W. S. (1908). The Probable Error of a Mean. </w:t>
      </w:r>
      <w:proofErr w:type="spellStart"/>
      <w:r w:rsidRPr="00860DF2">
        <w:rPr>
          <w:rFonts w:ascii="Times New Roman" w:eastAsia="Times New Roman" w:hAnsi="Times New Roman" w:cs="Times New Roman"/>
          <w:i/>
          <w:iCs/>
          <w:color w:val="000000"/>
          <w:sz w:val="24"/>
          <w:szCs w:val="24"/>
        </w:rPr>
        <w:t>Biometrika</w:t>
      </w:r>
      <w:proofErr w:type="spellEnd"/>
      <w:r w:rsidRPr="00860DF2">
        <w:rPr>
          <w:rFonts w:ascii="Times New Roman" w:eastAsia="Times New Roman" w:hAnsi="Times New Roman" w:cs="Times New Roman"/>
          <w:color w:val="000000"/>
          <w:sz w:val="24"/>
          <w:szCs w:val="24"/>
        </w:rPr>
        <w:t xml:space="preserve">, </w:t>
      </w:r>
      <w:r w:rsidRPr="00860DF2">
        <w:rPr>
          <w:rFonts w:ascii="Times New Roman" w:eastAsia="Times New Roman" w:hAnsi="Times New Roman" w:cs="Times New Roman"/>
          <w:i/>
          <w:iCs/>
          <w:color w:val="000000"/>
          <w:sz w:val="24"/>
          <w:szCs w:val="24"/>
        </w:rPr>
        <w:t>6</w:t>
      </w:r>
      <w:r w:rsidRPr="00860DF2">
        <w:rPr>
          <w:rFonts w:ascii="Times New Roman" w:eastAsia="Times New Roman" w:hAnsi="Times New Roman" w:cs="Times New Roman"/>
          <w:color w:val="000000"/>
          <w:sz w:val="24"/>
          <w:szCs w:val="24"/>
        </w:rPr>
        <w:t>(1),. https://doi.org/10.2307/2331554</w:t>
      </w:r>
    </w:p>
    <w:p w14:paraId="55A5F710" w14:textId="77777777" w:rsidR="00860DF2" w:rsidRPr="00860DF2" w:rsidRDefault="00860DF2" w:rsidP="00860DF2">
      <w:pPr>
        <w:shd w:val="clear" w:color="auto" w:fill="FFFFFF"/>
        <w:spacing w:after="0" w:line="240" w:lineRule="auto"/>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w:t>
      </w:r>
    </w:p>
    <w:p w14:paraId="746BB9FB" w14:textId="308E4469" w:rsidR="00A35728" w:rsidRDefault="00A35728" w:rsidP="00A35728">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xml:space="preserve">. The Analysis Factor. </w:t>
      </w:r>
      <w:hyperlink r:id="rId44" w:history="1">
        <w:r w:rsidR="009D477E" w:rsidRPr="003C2C25">
          <w:rPr>
            <w:rStyle w:val="Hyperlink"/>
            <w:rFonts w:ascii="Times New Roman" w:eastAsia="Times New Roman" w:hAnsi="Times New Roman" w:cs="Times New Roman"/>
            <w:sz w:val="24"/>
            <w:szCs w:val="24"/>
          </w:rPr>
          <w:t>https://www.theanalysisfactor.com/the-six-types-of-survival-analysis-and-challenges-in-learning-them/</w:t>
        </w:r>
      </w:hyperlink>
    </w:p>
    <w:p w14:paraId="5CE34077" w14:textId="152D0AA5" w:rsidR="00C65539" w:rsidRDefault="00C65539" w:rsidP="00A35728">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88F0E68" w14:textId="77777777" w:rsidR="00C65539" w:rsidRPr="00C65539" w:rsidRDefault="00C65539" w:rsidP="00C65539">
      <w:pPr>
        <w:shd w:val="clear" w:color="auto" w:fill="FFFFFF"/>
        <w:spacing w:after="0" w:line="240" w:lineRule="auto"/>
        <w:ind w:left="720" w:hanging="720"/>
        <w:rPr>
          <w:rFonts w:ascii="Times New Roman" w:eastAsia="Times New Roman" w:hAnsi="Times New Roman" w:cs="Times New Roman"/>
          <w:color w:val="000000"/>
          <w:sz w:val="24"/>
          <w:szCs w:val="24"/>
        </w:rPr>
      </w:pPr>
      <w:r w:rsidRPr="00C65539">
        <w:rPr>
          <w:rFonts w:ascii="Times New Roman" w:eastAsia="Times New Roman" w:hAnsi="Times New Roman" w:cs="Times New Roman"/>
          <w:color w:val="000000"/>
          <w:sz w:val="24"/>
          <w:szCs w:val="24"/>
        </w:rPr>
        <w:t xml:space="preserve">Graf, R. P., </w:t>
      </w:r>
      <w:proofErr w:type="spellStart"/>
      <w:r w:rsidRPr="00C65539">
        <w:rPr>
          <w:rFonts w:ascii="Times New Roman" w:eastAsia="Times New Roman" w:hAnsi="Times New Roman" w:cs="Times New Roman"/>
          <w:color w:val="000000"/>
          <w:sz w:val="24"/>
          <w:szCs w:val="24"/>
        </w:rPr>
        <w:t>Eskander</w:t>
      </w:r>
      <w:proofErr w:type="spellEnd"/>
      <w:r w:rsidRPr="00C65539">
        <w:rPr>
          <w:rFonts w:ascii="Times New Roman" w:eastAsia="Times New Roman" w:hAnsi="Times New Roman" w:cs="Times New Roman"/>
          <w:color w:val="000000"/>
          <w:sz w:val="24"/>
          <w:szCs w:val="24"/>
        </w:rPr>
        <w:t xml:space="preserve">, R., </w:t>
      </w:r>
      <w:proofErr w:type="spellStart"/>
      <w:r w:rsidRPr="00C65539">
        <w:rPr>
          <w:rFonts w:ascii="Times New Roman" w:eastAsia="Times New Roman" w:hAnsi="Times New Roman" w:cs="Times New Roman"/>
          <w:color w:val="000000"/>
          <w:sz w:val="24"/>
          <w:szCs w:val="24"/>
        </w:rPr>
        <w:t>Brueggeman</w:t>
      </w:r>
      <w:proofErr w:type="spellEnd"/>
      <w:r w:rsidRPr="00C65539">
        <w:rPr>
          <w:rFonts w:ascii="Times New Roman" w:eastAsia="Times New Roman" w:hAnsi="Times New Roman" w:cs="Times New Roman"/>
          <w:color w:val="000000"/>
          <w:sz w:val="24"/>
          <w:szCs w:val="24"/>
        </w:rPr>
        <w:t xml:space="preserve">, L., &amp; </w:t>
      </w:r>
      <w:proofErr w:type="spellStart"/>
      <w:r w:rsidRPr="00C65539">
        <w:rPr>
          <w:rFonts w:ascii="Times New Roman" w:eastAsia="Times New Roman" w:hAnsi="Times New Roman" w:cs="Times New Roman"/>
          <w:color w:val="000000"/>
          <w:sz w:val="24"/>
          <w:szCs w:val="24"/>
        </w:rPr>
        <w:t>Stupack</w:t>
      </w:r>
      <w:proofErr w:type="spellEnd"/>
      <w:r w:rsidRPr="00C65539">
        <w:rPr>
          <w:rFonts w:ascii="Times New Roman" w:eastAsia="Times New Roman" w:hAnsi="Times New Roman" w:cs="Times New Roman"/>
          <w:color w:val="000000"/>
          <w:sz w:val="24"/>
          <w:szCs w:val="24"/>
        </w:rPr>
        <w:t xml:space="preserve">, D. G. (2021). Association of Copy Number Variation Signature and Survival in Patients </w:t>
      </w:r>
      <w:proofErr w:type="gramStart"/>
      <w:r w:rsidRPr="00C65539">
        <w:rPr>
          <w:rFonts w:ascii="Times New Roman" w:eastAsia="Times New Roman" w:hAnsi="Times New Roman" w:cs="Times New Roman"/>
          <w:color w:val="000000"/>
          <w:sz w:val="24"/>
          <w:szCs w:val="24"/>
        </w:rPr>
        <w:t>With</w:t>
      </w:r>
      <w:proofErr w:type="gramEnd"/>
      <w:r w:rsidRPr="00C65539">
        <w:rPr>
          <w:rFonts w:ascii="Times New Roman" w:eastAsia="Times New Roman" w:hAnsi="Times New Roman" w:cs="Times New Roman"/>
          <w:color w:val="000000"/>
          <w:sz w:val="24"/>
          <w:szCs w:val="24"/>
        </w:rPr>
        <w:t xml:space="preserve"> Serous Ovarian Cancer. </w:t>
      </w:r>
      <w:r w:rsidRPr="00C65539">
        <w:rPr>
          <w:rFonts w:ascii="Times New Roman" w:eastAsia="Times New Roman" w:hAnsi="Times New Roman" w:cs="Times New Roman"/>
          <w:i/>
          <w:iCs/>
          <w:color w:val="000000"/>
          <w:sz w:val="24"/>
          <w:szCs w:val="24"/>
        </w:rPr>
        <w:t>JAMA Network Open</w:t>
      </w:r>
      <w:r w:rsidRPr="00C65539">
        <w:rPr>
          <w:rFonts w:ascii="Times New Roman" w:eastAsia="Times New Roman" w:hAnsi="Times New Roman" w:cs="Times New Roman"/>
          <w:color w:val="000000"/>
          <w:sz w:val="24"/>
          <w:szCs w:val="24"/>
        </w:rPr>
        <w:t xml:space="preserve">, </w:t>
      </w:r>
      <w:r w:rsidRPr="00C65539">
        <w:rPr>
          <w:rFonts w:ascii="Times New Roman" w:eastAsia="Times New Roman" w:hAnsi="Times New Roman" w:cs="Times New Roman"/>
          <w:i/>
          <w:iCs/>
          <w:color w:val="000000"/>
          <w:sz w:val="24"/>
          <w:szCs w:val="24"/>
        </w:rPr>
        <w:t>4</w:t>
      </w:r>
      <w:r w:rsidRPr="00C65539">
        <w:rPr>
          <w:rFonts w:ascii="Times New Roman" w:eastAsia="Times New Roman" w:hAnsi="Times New Roman" w:cs="Times New Roman"/>
          <w:color w:val="000000"/>
          <w:sz w:val="24"/>
          <w:szCs w:val="24"/>
        </w:rPr>
        <w:t>(6), e2114162. https://doi.org/10.1001/jamanetworkopen.2021.14162</w:t>
      </w:r>
    </w:p>
    <w:p w14:paraId="5572AB6D" w14:textId="3375B07C" w:rsidR="009D477E" w:rsidRDefault="00C65539" w:rsidP="00C65539">
      <w:pPr>
        <w:shd w:val="clear" w:color="auto" w:fill="FFFFFF"/>
        <w:spacing w:after="0" w:line="240" w:lineRule="auto"/>
        <w:rPr>
          <w:rFonts w:ascii="Times New Roman" w:eastAsia="Times New Roman" w:hAnsi="Times New Roman" w:cs="Times New Roman"/>
          <w:color w:val="000000"/>
          <w:sz w:val="24"/>
          <w:szCs w:val="24"/>
        </w:rPr>
      </w:pPr>
      <w:r w:rsidRPr="00C65539">
        <w:rPr>
          <w:rFonts w:ascii="Times New Roman" w:eastAsia="Times New Roman" w:hAnsi="Times New Roman" w:cs="Times New Roman"/>
          <w:color w:val="000000"/>
          <w:sz w:val="24"/>
          <w:szCs w:val="24"/>
        </w:rPr>
        <w:t>‌</w:t>
      </w:r>
    </w:p>
    <w:p w14:paraId="5C1EDD30" w14:textId="77777777" w:rsidR="009D477E" w:rsidRPr="009D477E" w:rsidRDefault="009D477E" w:rsidP="009D477E">
      <w:pPr>
        <w:shd w:val="clear" w:color="auto" w:fill="FFFFFF"/>
        <w:spacing w:after="0" w:line="240" w:lineRule="auto"/>
        <w:ind w:left="720" w:hanging="720"/>
        <w:rPr>
          <w:rFonts w:ascii="Times New Roman" w:eastAsia="Times New Roman" w:hAnsi="Times New Roman" w:cs="Times New Roman"/>
          <w:color w:val="000000"/>
          <w:sz w:val="24"/>
          <w:szCs w:val="24"/>
        </w:rPr>
      </w:pPr>
      <w:r w:rsidRPr="009D477E">
        <w:rPr>
          <w:rFonts w:ascii="Times New Roman" w:eastAsia="Times New Roman" w:hAnsi="Times New Roman" w:cs="Times New Roman"/>
          <w:i/>
          <w:iCs/>
          <w:color w:val="000000"/>
          <w:sz w:val="24"/>
          <w:szCs w:val="24"/>
        </w:rPr>
        <w:t>GRCh37 - hg19 - Genome</w:t>
      </w:r>
      <w:r w:rsidRPr="009D477E">
        <w:rPr>
          <w:rFonts w:ascii="Times New Roman" w:eastAsia="Times New Roman" w:hAnsi="Times New Roman" w:cs="Times New Roman"/>
          <w:color w:val="000000"/>
          <w:sz w:val="24"/>
          <w:szCs w:val="24"/>
        </w:rPr>
        <w:t>. (2009). Nih.gov. https://www.ncbi.nlm.nih.gov/assembly/GCF_000001405.13/</w:t>
      </w:r>
    </w:p>
    <w:p w14:paraId="27185B2C" w14:textId="77777777" w:rsidR="009D477E" w:rsidRPr="009D477E" w:rsidRDefault="009D477E" w:rsidP="009D477E">
      <w:pPr>
        <w:shd w:val="clear" w:color="auto" w:fill="FFFFFF"/>
        <w:spacing w:after="0" w:line="240" w:lineRule="auto"/>
        <w:rPr>
          <w:rFonts w:ascii="Times New Roman" w:eastAsia="Times New Roman" w:hAnsi="Times New Roman" w:cs="Times New Roman"/>
          <w:color w:val="000000"/>
          <w:sz w:val="24"/>
          <w:szCs w:val="24"/>
        </w:rPr>
      </w:pPr>
      <w:r w:rsidRPr="009D477E">
        <w:rPr>
          <w:rFonts w:ascii="Times New Roman" w:eastAsia="Times New Roman" w:hAnsi="Times New Roman" w:cs="Times New Roman"/>
          <w:color w:val="000000"/>
          <w:sz w:val="24"/>
          <w:szCs w:val="24"/>
        </w:rPr>
        <w:t>‌</w:t>
      </w:r>
    </w:p>
    <w:p w14:paraId="423D8093" w14:textId="38E930A2" w:rsid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lastRenderedPageBreak/>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 xml:space="preserve">(10), 714–726. </w:t>
      </w:r>
      <w:hyperlink r:id="rId45" w:history="1">
        <w:r w:rsidR="003E28B4" w:rsidRPr="00524641">
          <w:rPr>
            <w:rStyle w:val="Hyperlink"/>
            <w:rFonts w:ascii="Times New Roman" w:eastAsia="Times New Roman" w:hAnsi="Times New Roman" w:cs="Times New Roman"/>
            <w:sz w:val="24"/>
            <w:szCs w:val="24"/>
          </w:rPr>
          <w:t>https://doi.org/10.1038/nrc3599</w:t>
        </w:r>
      </w:hyperlink>
    </w:p>
    <w:p w14:paraId="537316FC" w14:textId="12F98BE7" w:rsidR="003E28B4" w:rsidRDefault="003E28B4"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
    <w:p w14:paraId="73885892" w14:textId="77777777" w:rsidR="003E28B4" w:rsidRPr="003E28B4" w:rsidRDefault="003E28B4" w:rsidP="003E28B4">
      <w:pPr>
        <w:shd w:val="clear" w:color="auto" w:fill="FFFFFF"/>
        <w:spacing w:after="0" w:line="240" w:lineRule="auto"/>
        <w:ind w:left="720" w:hanging="720"/>
        <w:rPr>
          <w:rFonts w:ascii="Times New Roman" w:eastAsia="Times New Roman" w:hAnsi="Times New Roman" w:cs="Times New Roman"/>
          <w:color w:val="000000"/>
          <w:sz w:val="24"/>
          <w:szCs w:val="24"/>
        </w:rPr>
      </w:pPr>
      <w:r w:rsidRPr="003E28B4">
        <w:rPr>
          <w:rFonts w:ascii="Times New Roman" w:eastAsia="Times New Roman" w:hAnsi="Times New Roman" w:cs="Times New Roman"/>
          <w:color w:val="000000"/>
          <w:sz w:val="24"/>
          <w:szCs w:val="24"/>
        </w:rPr>
        <w:t xml:space="preserve">Huang, X., </w:t>
      </w:r>
      <w:proofErr w:type="spellStart"/>
      <w:r w:rsidRPr="003E28B4">
        <w:rPr>
          <w:rFonts w:ascii="Times New Roman" w:eastAsia="Times New Roman" w:hAnsi="Times New Roman" w:cs="Times New Roman"/>
          <w:color w:val="000000"/>
          <w:sz w:val="24"/>
          <w:szCs w:val="24"/>
        </w:rPr>
        <w:t>Ruan</w:t>
      </w:r>
      <w:proofErr w:type="spellEnd"/>
      <w:r w:rsidRPr="003E28B4">
        <w:rPr>
          <w:rFonts w:ascii="Times New Roman" w:eastAsia="Times New Roman" w:hAnsi="Times New Roman" w:cs="Times New Roman"/>
          <w:color w:val="000000"/>
          <w:sz w:val="24"/>
          <w:szCs w:val="24"/>
        </w:rPr>
        <w:t xml:space="preserve">, G., &amp; Sun, P. (2021). Estrogen‐related receptor alpha copy number variation is associated with ovarian cancer histological grade. </w:t>
      </w:r>
      <w:r w:rsidRPr="003E28B4">
        <w:rPr>
          <w:rFonts w:ascii="Times New Roman" w:eastAsia="Times New Roman" w:hAnsi="Times New Roman" w:cs="Times New Roman"/>
          <w:i/>
          <w:iCs/>
          <w:color w:val="000000"/>
          <w:sz w:val="24"/>
          <w:szCs w:val="24"/>
        </w:rPr>
        <w:t xml:space="preserve">Journal of Obstetrics and </w:t>
      </w:r>
      <w:proofErr w:type="spellStart"/>
      <w:r w:rsidRPr="003E28B4">
        <w:rPr>
          <w:rFonts w:ascii="Times New Roman" w:eastAsia="Times New Roman" w:hAnsi="Times New Roman" w:cs="Times New Roman"/>
          <w:i/>
          <w:iCs/>
          <w:color w:val="000000"/>
          <w:sz w:val="24"/>
          <w:szCs w:val="24"/>
        </w:rPr>
        <w:t>Gynaecology</w:t>
      </w:r>
      <w:proofErr w:type="spellEnd"/>
      <w:r w:rsidRPr="003E28B4">
        <w:rPr>
          <w:rFonts w:ascii="Times New Roman" w:eastAsia="Times New Roman" w:hAnsi="Times New Roman" w:cs="Times New Roman"/>
          <w:i/>
          <w:iCs/>
          <w:color w:val="000000"/>
          <w:sz w:val="24"/>
          <w:szCs w:val="24"/>
        </w:rPr>
        <w:t xml:space="preserve"> Research</w:t>
      </w:r>
      <w:r w:rsidRPr="003E28B4">
        <w:rPr>
          <w:rFonts w:ascii="Times New Roman" w:eastAsia="Times New Roman" w:hAnsi="Times New Roman" w:cs="Times New Roman"/>
          <w:color w:val="000000"/>
          <w:sz w:val="24"/>
          <w:szCs w:val="24"/>
        </w:rPr>
        <w:t xml:space="preserve">, </w:t>
      </w:r>
      <w:r w:rsidRPr="003E28B4">
        <w:rPr>
          <w:rFonts w:ascii="Times New Roman" w:eastAsia="Times New Roman" w:hAnsi="Times New Roman" w:cs="Times New Roman"/>
          <w:i/>
          <w:iCs/>
          <w:color w:val="000000"/>
          <w:sz w:val="24"/>
          <w:szCs w:val="24"/>
        </w:rPr>
        <w:t>47</w:t>
      </w:r>
      <w:r w:rsidRPr="003E28B4">
        <w:rPr>
          <w:rFonts w:ascii="Times New Roman" w:eastAsia="Times New Roman" w:hAnsi="Times New Roman" w:cs="Times New Roman"/>
          <w:color w:val="000000"/>
          <w:sz w:val="24"/>
          <w:szCs w:val="24"/>
        </w:rPr>
        <w:t>(5), 1878–1883. https://doi.org/10.1111/jog.14741</w:t>
      </w:r>
    </w:p>
    <w:p w14:paraId="06C624EC" w14:textId="77777777" w:rsidR="003E28B4" w:rsidRDefault="003E28B4" w:rsidP="003E28B4">
      <w:pPr>
        <w:shd w:val="clear" w:color="auto" w:fill="FFFFFF"/>
        <w:spacing w:after="0" w:line="240" w:lineRule="auto"/>
        <w:rPr>
          <w:rFonts w:ascii="Times New Roman" w:eastAsia="Times New Roman" w:hAnsi="Times New Roman" w:cs="Times New Roman"/>
          <w:color w:val="000000"/>
          <w:sz w:val="24"/>
          <w:szCs w:val="24"/>
        </w:rPr>
      </w:pPr>
      <w:r w:rsidRPr="003E28B4">
        <w:rPr>
          <w:rFonts w:ascii="Times New Roman" w:eastAsia="Times New Roman" w:hAnsi="Times New Roman" w:cs="Times New Roman"/>
          <w:color w:val="000000"/>
          <w:sz w:val="24"/>
          <w:szCs w:val="24"/>
        </w:rPr>
        <w:t>‌</w:t>
      </w:r>
    </w:p>
    <w:p w14:paraId="5DD2AA6A" w14:textId="472C3A52" w:rsidR="00590C65" w:rsidRDefault="00590C65" w:rsidP="003E28B4">
      <w:pPr>
        <w:shd w:val="clear" w:color="auto" w:fill="FFFFFF"/>
        <w:spacing w:after="0" w:line="240" w:lineRule="auto"/>
        <w:rPr>
          <w:rFonts w:ascii="Times New Roman" w:eastAsia="Times New Roman" w:hAnsi="Times New Roman" w:cs="Times New Roman"/>
          <w:color w:val="000000"/>
          <w:sz w:val="24"/>
          <w:szCs w:val="24"/>
        </w:rPr>
      </w:pPr>
      <w:r w:rsidRPr="00590C65">
        <w:rPr>
          <w:rFonts w:ascii="Times New Roman" w:eastAsia="Times New Roman" w:hAnsi="Times New Roman" w:cs="Times New Roman"/>
          <w:i/>
          <w:iCs/>
          <w:color w:val="000000"/>
          <w:sz w:val="24"/>
          <w:szCs w:val="24"/>
        </w:rPr>
        <w:t>Human Genome Project FAQ</w:t>
      </w:r>
      <w:r w:rsidRPr="00590C65">
        <w:rPr>
          <w:rFonts w:ascii="Times New Roman" w:eastAsia="Times New Roman" w:hAnsi="Times New Roman" w:cs="Times New Roman"/>
          <w:color w:val="000000"/>
          <w:sz w:val="24"/>
          <w:szCs w:val="24"/>
        </w:rPr>
        <w:t xml:space="preserve">. (2013). Genome.Gov. </w:t>
      </w:r>
      <w:hyperlink r:id="rId46" w:history="1">
        <w:r w:rsidRPr="00590C65">
          <w:rPr>
            <w:rStyle w:val="Hyperlink"/>
            <w:rFonts w:ascii="Times New Roman" w:eastAsia="Times New Roman" w:hAnsi="Times New Roman" w:cs="Times New Roman"/>
            <w:sz w:val="24"/>
            <w:szCs w:val="24"/>
          </w:rPr>
          <w:t>https://www.genome.gov/human-genome</w:t>
        </w:r>
      </w:hyperlink>
      <w:r>
        <w:rPr>
          <w:rFonts w:ascii="Times New Roman" w:eastAsia="Times New Roman" w:hAnsi="Times New Roman" w:cs="Times New Roman"/>
          <w:color w:val="000000"/>
          <w:sz w:val="24"/>
          <w:szCs w:val="24"/>
        </w:rPr>
        <w:tab/>
      </w:r>
      <w:r w:rsidRPr="00590C65">
        <w:rPr>
          <w:rFonts w:ascii="Times New Roman" w:eastAsia="Times New Roman" w:hAnsi="Times New Roman" w:cs="Times New Roman"/>
          <w:color w:val="000000"/>
          <w:sz w:val="24"/>
          <w:szCs w:val="24"/>
        </w:rPr>
        <w:t>project/Completion-FAQ</w:t>
      </w:r>
    </w:p>
    <w:p w14:paraId="58AEC6A7" w14:textId="3061D017" w:rsidR="00EC05C0" w:rsidRDefault="00EC05C0" w:rsidP="00EC05C0">
      <w:pPr>
        <w:shd w:val="clear" w:color="auto" w:fill="FFFFFF"/>
        <w:spacing w:after="0" w:line="240" w:lineRule="auto"/>
        <w:ind w:left="720" w:hanging="720"/>
        <w:rPr>
          <w:rFonts w:ascii="Times New Roman" w:eastAsia="Times New Roman" w:hAnsi="Times New Roman" w:cs="Times New Roman"/>
          <w:color w:val="000000"/>
          <w:sz w:val="24"/>
          <w:szCs w:val="24"/>
        </w:rPr>
      </w:pPr>
      <w:r w:rsidRPr="00EC05C0">
        <w:rPr>
          <w:rFonts w:ascii="Times New Roman" w:eastAsia="Times New Roman" w:hAnsi="Times New Roman" w:cs="Times New Roman"/>
          <w:color w:val="000000"/>
          <w:sz w:val="24"/>
          <w:szCs w:val="24"/>
        </w:rPr>
        <w:t>IBM Corp. Released 2017. IBM SPSS Statistics for Windows, Version 25.0. Armonk, NY: IBM Corp.‌</w:t>
      </w:r>
    </w:p>
    <w:p w14:paraId="3378DAB2" w14:textId="3E6ABE6C" w:rsidR="00A50813" w:rsidRDefault="00A50813" w:rsidP="00EC05C0">
      <w:pPr>
        <w:shd w:val="clear" w:color="auto" w:fill="FFFFFF"/>
        <w:spacing w:after="0" w:line="240" w:lineRule="auto"/>
        <w:ind w:left="720" w:hanging="720"/>
        <w:rPr>
          <w:rFonts w:ascii="Times New Roman" w:eastAsia="Times New Roman" w:hAnsi="Times New Roman" w:cs="Times New Roman"/>
          <w:color w:val="000000"/>
          <w:sz w:val="24"/>
          <w:szCs w:val="24"/>
        </w:rPr>
      </w:pPr>
    </w:p>
    <w:p w14:paraId="20181452" w14:textId="7A832FFF" w:rsidR="00A50813" w:rsidRPr="00EC05C0" w:rsidRDefault="00A50813" w:rsidP="00EC05C0">
      <w:pPr>
        <w:shd w:val="clear" w:color="auto" w:fill="FFFFFF"/>
        <w:spacing w:after="0" w:line="240" w:lineRule="auto"/>
        <w:ind w:left="720" w:hanging="720"/>
        <w:rPr>
          <w:rFonts w:ascii="Times New Roman" w:eastAsia="Times New Roman" w:hAnsi="Times New Roman" w:cs="Times New Roman"/>
          <w:color w:val="000000"/>
          <w:sz w:val="24"/>
          <w:szCs w:val="24"/>
        </w:rPr>
      </w:pPr>
      <w:r w:rsidRPr="00A50813">
        <w:rPr>
          <w:rFonts w:ascii="Times New Roman" w:eastAsia="Times New Roman" w:hAnsi="Times New Roman" w:cs="Times New Roman"/>
          <w:color w:val="000000"/>
          <w:sz w:val="24"/>
          <w:szCs w:val="24"/>
        </w:rPr>
        <w:t xml:space="preserve">In, J., &amp; Lee, D. K. (2019). Survival analysis: part II – applied clinical data analysis. </w:t>
      </w:r>
      <w:r w:rsidRPr="00A50813">
        <w:rPr>
          <w:rFonts w:ascii="Times New Roman" w:eastAsia="Times New Roman" w:hAnsi="Times New Roman" w:cs="Times New Roman"/>
          <w:i/>
          <w:iCs/>
          <w:color w:val="000000"/>
          <w:sz w:val="24"/>
          <w:szCs w:val="24"/>
        </w:rPr>
        <w:t>Korean Journal of Anesthesiology</w:t>
      </w:r>
      <w:r w:rsidRPr="00A50813">
        <w:rPr>
          <w:rFonts w:ascii="Times New Roman" w:eastAsia="Times New Roman" w:hAnsi="Times New Roman" w:cs="Times New Roman"/>
          <w:color w:val="000000"/>
          <w:sz w:val="24"/>
          <w:szCs w:val="24"/>
        </w:rPr>
        <w:t xml:space="preserve">, </w:t>
      </w:r>
      <w:r w:rsidRPr="00A50813">
        <w:rPr>
          <w:rFonts w:ascii="Times New Roman" w:eastAsia="Times New Roman" w:hAnsi="Times New Roman" w:cs="Times New Roman"/>
          <w:i/>
          <w:iCs/>
          <w:color w:val="000000"/>
          <w:sz w:val="24"/>
          <w:szCs w:val="24"/>
        </w:rPr>
        <w:t>72</w:t>
      </w:r>
      <w:r w:rsidRPr="00A50813">
        <w:rPr>
          <w:rFonts w:ascii="Times New Roman" w:eastAsia="Times New Roman" w:hAnsi="Times New Roman" w:cs="Times New Roman"/>
          <w:color w:val="000000"/>
          <w:sz w:val="24"/>
          <w:szCs w:val="24"/>
        </w:rPr>
        <w:t>(5), 441–457. https://doi.org/10.4097/kja.19183‌</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47" w:history="1">
        <w:r w:rsidRPr="00886C0A">
          <w:rPr>
            <w:rStyle w:val="Hyperlink"/>
          </w:rPr>
          <w:t>https://doi.org/10.7150/jca.15371</w:t>
        </w:r>
      </w:hyperlink>
    </w:p>
    <w:p w14:paraId="026E1189" w14:textId="3B5BAC55"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48" w:history="1">
        <w:r w:rsidRPr="00344602">
          <w:rPr>
            <w:rStyle w:val="Hyperlink"/>
            <w:rFonts w:ascii="Times New Roman" w:eastAsia="Times New Roman" w:hAnsi="Times New Roman" w:cs="Times New Roman"/>
            <w:sz w:val="24"/>
            <w:szCs w:val="24"/>
          </w:rPr>
          <w:t>https://doi.org/10.1186/s13059-018-1578-y</w:t>
        </w:r>
      </w:hyperlink>
    </w:p>
    <w:p w14:paraId="46EEFD37" w14:textId="5974F3A2" w:rsidR="003F5EB9" w:rsidRDefault="003F5EB9" w:rsidP="00344602">
      <w:pPr>
        <w:shd w:val="clear" w:color="auto" w:fill="FFFFFF"/>
        <w:spacing w:after="0" w:line="240" w:lineRule="auto"/>
        <w:rPr>
          <w:rStyle w:val="Hyperlink"/>
          <w:rFonts w:ascii="Times New Roman" w:eastAsia="Times New Roman" w:hAnsi="Times New Roman" w:cs="Times New Roman"/>
          <w:sz w:val="24"/>
          <w:szCs w:val="24"/>
        </w:rPr>
      </w:pPr>
    </w:p>
    <w:p w14:paraId="0FDA72D1" w14:textId="770D3AF2" w:rsidR="003F5EB9" w:rsidRDefault="003F5EB9" w:rsidP="003F5EB9">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F5EB9">
        <w:rPr>
          <w:rFonts w:ascii="Times New Roman" w:eastAsia="Times New Roman" w:hAnsi="Times New Roman" w:cs="Times New Roman"/>
          <w:color w:val="000000"/>
          <w:sz w:val="24"/>
          <w:szCs w:val="24"/>
        </w:rPr>
        <w:t>Kalbfleisch</w:t>
      </w:r>
      <w:proofErr w:type="spellEnd"/>
      <w:r w:rsidRPr="003F5EB9">
        <w:rPr>
          <w:rFonts w:ascii="Times New Roman" w:eastAsia="Times New Roman" w:hAnsi="Times New Roman" w:cs="Times New Roman"/>
          <w:color w:val="000000"/>
          <w:sz w:val="24"/>
          <w:szCs w:val="24"/>
        </w:rPr>
        <w:t xml:space="preserve">, J. D., &amp; Prentice, R. L. (2002). </w:t>
      </w:r>
      <w:r w:rsidRPr="003F5EB9">
        <w:rPr>
          <w:rFonts w:ascii="Times New Roman" w:eastAsia="Times New Roman" w:hAnsi="Times New Roman" w:cs="Times New Roman"/>
          <w:i/>
          <w:iCs/>
          <w:color w:val="000000"/>
          <w:sz w:val="24"/>
          <w:szCs w:val="24"/>
        </w:rPr>
        <w:t xml:space="preserve">The Statistical Analysis of Failure Time Data </w:t>
      </w:r>
      <w:proofErr w:type="spellStart"/>
      <w:r w:rsidRPr="003F5EB9">
        <w:rPr>
          <w:rFonts w:ascii="Times New Roman" w:eastAsia="Times New Roman" w:hAnsi="Times New Roman" w:cs="Times New Roman"/>
          <w:i/>
          <w:iCs/>
          <w:color w:val="000000"/>
          <w:sz w:val="24"/>
          <w:szCs w:val="24"/>
        </w:rPr>
        <w:t>Kalbfleisch</w:t>
      </w:r>
      <w:proofErr w:type="spellEnd"/>
      <w:r w:rsidRPr="003F5EB9">
        <w:rPr>
          <w:rFonts w:ascii="Times New Roman" w:eastAsia="Times New Roman" w:hAnsi="Times New Roman" w:cs="Times New Roman"/>
          <w:i/>
          <w:iCs/>
          <w:color w:val="000000"/>
          <w:sz w:val="24"/>
          <w:szCs w:val="24"/>
        </w:rPr>
        <w:t>/The Statistical</w:t>
      </w:r>
      <w:r w:rsidRPr="003F5EB9">
        <w:rPr>
          <w:rFonts w:ascii="Times New Roman" w:eastAsia="Times New Roman" w:hAnsi="Times New Roman" w:cs="Times New Roman"/>
          <w:color w:val="000000"/>
          <w:sz w:val="24"/>
          <w:szCs w:val="24"/>
        </w:rPr>
        <w:t xml:space="preserve">. Hoboken, Nj, </w:t>
      </w:r>
      <w:proofErr w:type="spellStart"/>
      <w:r w:rsidRPr="003F5EB9">
        <w:rPr>
          <w:rFonts w:ascii="Times New Roman" w:eastAsia="Times New Roman" w:hAnsi="Times New Roman" w:cs="Times New Roman"/>
          <w:color w:val="000000"/>
          <w:sz w:val="24"/>
          <w:szCs w:val="24"/>
        </w:rPr>
        <w:t>Usa</w:t>
      </w:r>
      <w:proofErr w:type="spellEnd"/>
      <w:r w:rsidRPr="003F5EB9">
        <w:rPr>
          <w:rFonts w:ascii="Times New Roman" w:eastAsia="Times New Roman" w:hAnsi="Times New Roman" w:cs="Times New Roman"/>
          <w:color w:val="000000"/>
          <w:sz w:val="24"/>
          <w:szCs w:val="24"/>
        </w:rPr>
        <w:t xml:space="preserve"> John Wiley &amp; Sons, Inc. (Original work published 1980)</w:t>
      </w:r>
    </w:p>
    <w:p w14:paraId="519B4F13" w14:textId="4E355ACD" w:rsidR="00EA5D42" w:rsidRDefault="00EA5D42" w:rsidP="003F5EB9">
      <w:pPr>
        <w:shd w:val="clear" w:color="auto" w:fill="FFFFFF"/>
        <w:spacing w:after="0" w:line="240" w:lineRule="auto"/>
        <w:ind w:left="720" w:hanging="720"/>
        <w:rPr>
          <w:rFonts w:ascii="Times New Roman" w:eastAsia="Times New Roman" w:hAnsi="Times New Roman" w:cs="Times New Roman"/>
          <w:color w:val="000000"/>
          <w:sz w:val="24"/>
          <w:szCs w:val="24"/>
        </w:rPr>
      </w:pPr>
    </w:p>
    <w:p w14:paraId="6FE94E93" w14:textId="0041B18E" w:rsidR="00EA5D42" w:rsidRPr="003F5EB9" w:rsidRDefault="00EA5D42" w:rsidP="003F5EB9">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EA5D42">
        <w:rPr>
          <w:rFonts w:ascii="Times New Roman" w:eastAsia="Times New Roman" w:hAnsi="Times New Roman" w:cs="Times New Roman"/>
          <w:color w:val="000000"/>
          <w:sz w:val="24"/>
          <w:szCs w:val="24"/>
        </w:rPr>
        <w:t>Kanchi</w:t>
      </w:r>
      <w:proofErr w:type="spellEnd"/>
      <w:r w:rsidRPr="00EA5D42">
        <w:rPr>
          <w:rFonts w:ascii="Times New Roman" w:eastAsia="Times New Roman" w:hAnsi="Times New Roman" w:cs="Times New Roman"/>
          <w:color w:val="000000"/>
          <w:sz w:val="24"/>
          <w:szCs w:val="24"/>
        </w:rPr>
        <w:t xml:space="preserve">, K. L., Johnson, K. J., Lu, C., McLellan, M. D., </w:t>
      </w:r>
      <w:proofErr w:type="spellStart"/>
      <w:r w:rsidRPr="00EA5D42">
        <w:rPr>
          <w:rFonts w:ascii="Times New Roman" w:eastAsia="Times New Roman" w:hAnsi="Times New Roman" w:cs="Times New Roman"/>
          <w:color w:val="000000"/>
          <w:sz w:val="24"/>
          <w:szCs w:val="24"/>
        </w:rPr>
        <w:t>Leiserson</w:t>
      </w:r>
      <w:proofErr w:type="spellEnd"/>
      <w:r w:rsidRPr="00EA5D42">
        <w:rPr>
          <w:rFonts w:ascii="Times New Roman" w:eastAsia="Times New Roman" w:hAnsi="Times New Roman" w:cs="Times New Roman"/>
          <w:color w:val="000000"/>
          <w:sz w:val="24"/>
          <w:szCs w:val="24"/>
        </w:rPr>
        <w:t xml:space="preserve">, M. D. M., </w:t>
      </w:r>
      <w:proofErr w:type="spellStart"/>
      <w:r w:rsidRPr="00EA5D42">
        <w:rPr>
          <w:rFonts w:ascii="Times New Roman" w:eastAsia="Times New Roman" w:hAnsi="Times New Roman" w:cs="Times New Roman"/>
          <w:color w:val="000000"/>
          <w:sz w:val="24"/>
          <w:szCs w:val="24"/>
        </w:rPr>
        <w:t>Wendl</w:t>
      </w:r>
      <w:proofErr w:type="spellEnd"/>
      <w:r w:rsidRPr="00EA5D42">
        <w:rPr>
          <w:rFonts w:ascii="Times New Roman" w:eastAsia="Times New Roman" w:hAnsi="Times New Roman" w:cs="Times New Roman"/>
          <w:color w:val="000000"/>
          <w:sz w:val="24"/>
          <w:szCs w:val="24"/>
        </w:rPr>
        <w:t xml:space="preserve">, M. C., Zhang, Q., </w:t>
      </w:r>
      <w:proofErr w:type="spellStart"/>
      <w:r w:rsidRPr="00EA5D42">
        <w:rPr>
          <w:rFonts w:ascii="Times New Roman" w:eastAsia="Times New Roman" w:hAnsi="Times New Roman" w:cs="Times New Roman"/>
          <w:color w:val="000000"/>
          <w:sz w:val="24"/>
          <w:szCs w:val="24"/>
        </w:rPr>
        <w:t>Koboldt</w:t>
      </w:r>
      <w:proofErr w:type="spellEnd"/>
      <w:r w:rsidRPr="00EA5D42">
        <w:rPr>
          <w:rFonts w:ascii="Times New Roman" w:eastAsia="Times New Roman" w:hAnsi="Times New Roman" w:cs="Times New Roman"/>
          <w:color w:val="000000"/>
          <w:sz w:val="24"/>
          <w:szCs w:val="24"/>
        </w:rPr>
        <w:t xml:space="preserve">, D. C., </w:t>
      </w:r>
      <w:proofErr w:type="spellStart"/>
      <w:r w:rsidRPr="00EA5D42">
        <w:rPr>
          <w:rFonts w:ascii="Times New Roman" w:eastAsia="Times New Roman" w:hAnsi="Times New Roman" w:cs="Times New Roman"/>
          <w:color w:val="000000"/>
          <w:sz w:val="24"/>
          <w:szCs w:val="24"/>
        </w:rPr>
        <w:t>Xie</w:t>
      </w:r>
      <w:proofErr w:type="spellEnd"/>
      <w:r w:rsidRPr="00EA5D42">
        <w:rPr>
          <w:rFonts w:ascii="Times New Roman" w:eastAsia="Times New Roman" w:hAnsi="Times New Roman" w:cs="Times New Roman"/>
          <w:color w:val="000000"/>
          <w:sz w:val="24"/>
          <w:szCs w:val="24"/>
        </w:rPr>
        <w:t xml:space="preserve">, M., </w:t>
      </w:r>
      <w:proofErr w:type="spellStart"/>
      <w:r w:rsidRPr="00EA5D42">
        <w:rPr>
          <w:rFonts w:ascii="Times New Roman" w:eastAsia="Times New Roman" w:hAnsi="Times New Roman" w:cs="Times New Roman"/>
          <w:color w:val="000000"/>
          <w:sz w:val="24"/>
          <w:szCs w:val="24"/>
        </w:rPr>
        <w:t>Kandoth</w:t>
      </w:r>
      <w:proofErr w:type="spellEnd"/>
      <w:r w:rsidRPr="00EA5D42">
        <w:rPr>
          <w:rFonts w:ascii="Times New Roman" w:eastAsia="Times New Roman" w:hAnsi="Times New Roman" w:cs="Times New Roman"/>
          <w:color w:val="000000"/>
          <w:sz w:val="24"/>
          <w:szCs w:val="24"/>
        </w:rPr>
        <w:t xml:space="preserve">, C., McMichael, J. F., </w:t>
      </w:r>
      <w:proofErr w:type="spellStart"/>
      <w:r w:rsidRPr="00EA5D42">
        <w:rPr>
          <w:rFonts w:ascii="Times New Roman" w:eastAsia="Times New Roman" w:hAnsi="Times New Roman" w:cs="Times New Roman"/>
          <w:color w:val="000000"/>
          <w:sz w:val="24"/>
          <w:szCs w:val="24"/>
        </w:rPr>
        <w:t>Wyczalkowski</w:t>
      </w:r>
      <w:proofErr w:type="spellEnd"/>
      <w:r w:rsidRPr="00EA5D42">
        <w:rPr>
          <w:rFonts w:ascii="Times New Roman" w:eastAsia="Times New Roman" w:hAnsi="Times New Roman" w:cs="Times New Roman"/>
          <w:color w:val="000000"/>
          <w:sz w:val="24"/>
          <w:szCs w:val="24"/>
        </w:rPr>
        <w:t xml:space="preserve">, M. A., Larson, D. E., Schmidt, H. K., Miller, C. A., Fulton, R. S., Spellman, P. T., </w:t>
      </w:r>
      <w:proofErr w:type="spellStart"/>
      <w:r w:rsidRPr="00EA5D42">
        <w:rPr>
          <w:rFonts w:ascii="Times New Roman" w:eastAsia="Times New Roman" w:hAnsi="Times New Roman" w:cs="Times New Roman"/>
          <w:color w:val="000000"/>
          <w:sz w:val="24"/>
          <w:szCs w:val="24"/>
        </w:rPr>
        <w:t>Mardis</w:t>
      </w:r>
      <w:proofErr w:type="spellEnd"/>
      <w:r w:rsidRPr="00EA5D42">
        <w:rPr>
          <w:rFonts w:ascii="Times New Roman" w:eastAsia="Times New Roman" w:hAnsi="Times New Roman" w:cs="Times New Roman"/>
          <w:color w:val="000000"/>
          <w:sz w:val="24"/>
          <w:szCs w:val="24"/>
        </w:rPr>
        <w:t xml:space="preserve">, E. R., </w:t>
      </w:r>
      <w:proofErr w:type="spellStart"/>
      <w:r w:rsidRPr="00EA5D42">
        <w:rPr>
          <w:rFonts w:ascii="Times New Roman" w:eastAsia="Times New Roman" w:hAnsi="Times New Roman" w:cs="Times New Roman"/>
          <w:color w:val="000000"/>
          <w:sz w:val="24"/>
          <w:szCs w:val="24"/>
        </w:rPr>
        <w:t>Druley</w:t>
      </w:r>
      <w:proofErr w:type="spellEnd"/>
      <w:r w:rsidRPr="00EA5D42">
        <w:rPr>
          <w:rFonts w:ascii="Times New Roman" w:eastAsia="Times New Roman" w:hAnsi="Times New Roman" w:cs="Times New Roman"/>
          <w:color w:val="000000"/>
          <w:sz w:val="24"/>
          <w:szCs w:val="24"/>
        </w:rPr>
        <w:t xml:space="preserve">, T. E., &amp; </w:t>
      </w:r>
      <w:proofErr w:type="spellStart"/>
      <w:r w:rsidRPr="00EA5D42">
        <w:rPr>
          <w:rFonts w:ascii="Times New Roman" w:eastAsia="Times New Roman" w:hAnsi="Times New Roman" w:cs="Times New Roman"/>
          <w:color w:val="000000"/>
          <w:sz w:val="24"/>
          <w:szCs w:val="24"/>
        </w:rPr>
        <w:t>Graubert</w:t>
      </w:r>
      <w:proofErr w:type="spellEnd"/>
      <w:r w:rsidRPr="00EA5D42">
        <w:rPr>
          <w:rFonts w:ascii="Times New Roman" w:eastAsia="Times New Roman" w:hAnsi="Times New Roman" w:cs="Times New Roman"/>
          <w:color w:val="000000"/>
          <w:sz w:val="24"/>
          <w:szCs w:val="24"/>
        </w:rPr>
        <w:t xml:space="preserve">, T. A. (2014). Integrated analysis of germline and somatic variants in ovarian cancer. </w:t>
      </w:r>
      <w:r w:rsidRPr="00EA5D42">
        <w:rPr>
          <w:rFonts w:ascii="Times New Roman" w:eastAsia="Times New Roman" w:hAnsi="Times New Roman" w:cs="Times New Roman"/>
          <w:i/>
          <w:iCs/>
          <w:color w:val="000000"/>
          <w:sz w:val="24"/>
          <w:szCs w:val="24"/>
        </w:rPr>
        <w:t>Nature Communications</w:t>
      </w:r>
      <w:r w:rsidRPr="00EA5D42">
        <w:rPr>
          <w:rFonts w:ascii="Times New Roman" w:eastAsia="Times New Roman" w:hAnsi="Times New Roman" w:cs="Times New Roman"/>
          <w:color w:val="000000"/>
          <w:sz w:val="24"/>
          <w:szCs w:val="24"/>
        </w:rPr>
        <w:t xml:space="preserve">, </w:t>
      </w:r>
      <w:r w:rsidRPr="00EA5D42">
        <w:rPr>
          <w:rFonts w:ascii="Times New Roman" w:eastAsia="Times New Roman" w:hAnsi="Times New Roman" w:cs="Times New Roman"/>
          <w:i/>
          <w:iCs/>
          <w:color w:val="000000"/>
          <w:sz w:val="24"/>
          <w:szCs w:val="24"/>
        </w:rPr>
        <w:t>5</w:t>
      </w:r>
      <w:r w:rsidRPr="00EA5D42">
        <w:rPr>
          <w:rFonts w:ascii="Times New Roman" w:eastAsia="Times New Roman" w:hAnsi="Times New Roman" w:cs="Times New Roman"/>
          <w:color w:val="000000"/>
          <w:sz w:val="24"/>
          <w:szCs w:val="24"/>
        </w:rPr>
        <w:t>(1). https://doi.org/10.1038/ncomms4156</w:t>
      </w:r>
    </w:p>
    <w:p w14:paraId="4A7365A9" w14:textId="77777777" w:rsidR="003F5EB9" w:rsidRPr="003F5EB9" w:rsidRDefault="003F5EB9" w:rsidP="003F5EB9">
      <w:pPr>
        <w:shd w:val="clear" w:color="auto" w:fill="FFFFFF"/>
        <w:spacing w:after="0" w:line="240" w:lineRule="auto"/>
        <w:rPr>
          <w:rFonts w:ascii="Times New Roman" w:eastAsia="Times New Roman" w:hAnsi="Times New Roman" w:cs="Times New Roman"/>
          <w:color w:val="000000"/>
          <w:sz w:val="24"/>
          <w:szCs w:val="24"/>
        </w:rPr>
      </w:pPr>
      <w:r w:rsidRPr="003F5EB9">
        <w:rPr>
          <w:rFonts w:ascii="Times New Roman" w:eastAsia="Times New Roman" w:hAnsi="Times New Roman" w:cs="Times New Roman"/>
          <w:color w:val="000000"/>
          <w:sz w:val="24"/>
          <w:szCs w:val="24"/>
        </w:rPr>
        <w:t>‌</w:t>
      </w:r>
    </w:p>
    <w:p w14:paraId="59C9E93A" w14:textId="3C6A055A" w:rsidR="00755334" w:rsidRDefault="00755334" w:rsidP="00755334">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49" w:history="1">
        <w:r w:rsidR="000B4DD5" w:rsidRPr="00762BF1">
          <w:rPr>
            <w:rStyle w:val="Hyperlink"/>
            <w:rFonts w:ascii="Times New Roman" w:eastAsia="Times New Roman" w:hAnsi="Times New Roman" w:cs="Times New Roman"/>
            <w:sz w:val="24"/>
            <w:szCs w:val="24"/>
          </w:rPr>
          <w:t>https://doi.org/10.1080/01621459.1958.10501452</w:t>
        </w:r>
      </w:hyperlink>
    </w:p>
    <w:p w14:paraId="4A5C24D6" w14:textId="4BFE0919" w:rsidR="008A1F27" w:rsidRDefault="008A1F27" w:rsidP="00755334">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575CB5BB" w14:textId="77777777" w:rsidR="008A1F27" w:rsidRPr="008A1F27" w:rsidRDefault="008A1F27" w:rsidP="008A1F27">
      <w:pPr>
        <w:shd w:val="clear" w:color="auto" w:fill="FFFFFF"/>
        <w:spacing w:after="0" w:line="240" w:lineRule="auto"/>
        <w:ind w:left="720" w:hanging="720"/>
        <w:rPr>
          <w:rFonts w:ascii="Times New Roman" w:eastAsia="Times New Roman" w:hAnsi="Times New Roman" w:cs="Times New Roman"/>
          <w:color w:val="000000"/>
          <w:sz w:val="24"/>
          <w:szCs w:val="24"/>
        </w:rPr>
      </w:pPr>
      <w:r w:rsidRPr="008A1F27">
        <w:rPr>
          <w:rFonts w:ascii="Times New Roman" w:eastAsia="Times New Roman" w:hAnsi="Times New Roman" w:cs="Times New Roman"/>
          <w:color w:val="000000"/>
          <w:sz w:val="24"/>
          <w:szCs w:val="24"/>
        </w:rPr>
        <w:t xml:space="preserve">Kelter, R. (2020). Analysis of type I and II error rates of Bayesian and frequentist parametric and nonparametric two-sample hypothesis tests under preliminary assessment of normality. </w:t>
      </w:r>
      <w:r w:rsidRPr="008A1F27">
        <w:rPr>
          <w:rFonts w:ascii="Times New Roman" w:eastAsia="Times New Roman" w:hAnsi="Times New Roman" w:cs="Times New Roman"/>
          <w:i/>
          <w:iCs/>
          <w:color w:val="000000"/>
          <w:sz w:val="24"/>
          <w:szCs w:val="24"/>
        </w:rPr>
        <w:t>Computational Statistics</w:t>
      </w:r>
      <w:r w:rsidRPr="008A1F27">
        <w:rPr>
          <w:rFonts w:ascii="Times New Roman" w:eastAsia="Times New Roman" w:hAnsi="Times New Roman" w:cs="Times New Roman"/>
          <w:color w:val="000000"/>
          <w:sz w:val="24"/>
          <w:szCs w:val="24"/>
        </w:rPr>
        <w:t xml:space="preserve">, </w:t>
      </w:r>
      <w:r w:rsidRPr="008A1F27">
        <w:rPr>
          <w:rFonts w:ascii="Times New Roman" w:eastAsia="Times New Roman" w:hAnsi="Times New Roman" w:cs="Times New Roman"/>
          <w:i/>
          <w:iCs/>
          <w:color w:val="000000"/>
          <w:sz w:val="24"/>
          <w:szCs w:val="24"/>
        </w:rPr>
        <w:t>36</w:t>
      </w:r>
      <w:r w:rsidRPr="008A1F27">
        <w:rPr>
          <w:rFonts w:ascii="Times New Roman" w:eastAsia="Times New Roman" w:hAnsi="Times New Roman" w:cs="Times New Roman"/>
          <w:color w:val="000000"/>
          <w:sz w:val="24"/>
          <w:szCs w:val="24"/>
        </w:rPr>
        <w:t>, 1263–1288. https://doi.org/10.1007/s00180-020-01034-7</w:t>
      </w:r>
    </w:p>
    <w:p w14:paraId="1AB49A2E" w14:textId="77777777" w:rsidR="008A1F27" w:rsidRPr="008A1F27" w:rsidRDefault="008A1F27" w:rsidP="008A1F27">
      <w:pPr>
        <w:shd w:val="clear" w:color="auto" w:fill="FFFFFF"/>
        <w:spacing w:after="0" w:line="240" w:lineRule="auto"/>
        <w:rPr>
          <w:rFonts w:ascii="Times New Roman" w:eastAsia="Times New Roman" w:hAnsi="Times New Roman" w:cs="Times New Roman"/>
          <w:color w:val="000000"/>
          <w:sz w:val="24"/>
          <w:szCs w:val="24"/>
        </w:rPr>
      </w:pPr>
      <w:r w:rsidRPr="008A1F27">
        <w:rPr>
          <w:rFonts w:ascii="Times New Roman" w:eastAsia="Times New Roman" w:hAnsi="Times New Roman" w:cs="Times New Roman"/>
          <w:color w:val="000000"/>
          <w:sz w:val="24"/>
          <w:szCs w:val="24"/>
        </w:rPr>
        <w:t>‌</w:t>
      </w:r>
    </w:p>
    <w:p w14:paraId="3A8EF1B7" w14:textId="28E35F27"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xml:space="preserve">. </w:t>
      </w:r>
      <w:hyperlink r:id="rId50" w:history="1">
        <w:r w:rsidR="00747244" w:rsidRPr="003C2C25">
          <w:rPr>
            <w:rStyle w:val="Hyperlink"/>
            <w:rFonts w:ascii="Times New Roman" w:eastAsia="Times New Roman" w:hAnsi="Times New Roman" w:cs="Times New Roman"/>
            <w:sz w:val="24"/>
            <w:szCs w:val="24"/>
          </w:rPr>
          <w:t>https://www.youtube.com/watch?v=sJPti8Yh4k4</w:t>
        </w:r>
      </w:hyperlink>
    </w:p>
    <w:p w14:paraId="7BD5B653" w14:textId="3CB7FCBA" w:rsidR="00747244" w:rsidRDefault="0074724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2E2F04B0" w14:textId="77777777" w:rsidR="00747244" w:rsidRPr="00747244" w:rsidRDefault="00747244" w:rsidP="00747244">
      <w:pPr>
        <w:shd w:val="clear" w:color="auto" w:fill="FFFFFF"/>
        <w:spacing w:after="0" w:line="240" w:lineRule="auto"/>
        <w:ind w:left="720" w:hanging="720"/>
        <w:rPr>
          <w:rFonts w:ascii="Times New Roman" w:eastAsia="Times New Roman" w:hAnsi="Times New Roman" w:cs="Times New Roman"/>
          <w:color w:val="000000"/>
          <w:sz w:val="24"/>
          <w:szCs w:val="24"/>
        </w:rPr>
      </w:pPr>
      <w:r w:rsidRPr="00747244">
        <w:rPr>
          <w:rFonts w:ascii="Times New Roman" w:eastAsia="Times New Roman" w:hAnsi="Times New Roman" w:cs="Times New Roman"/>
          <w:color w:val="000000"/>
          <w:sz w:val="24"/>
          <w:szCs w:val="24"/>
        </w:rPr>
        <w:t xml:space="preserve">Kerkhof, J., Schenkel, L. C., Reilly, J., McRobbie, S., </w:t>
      </w:r>
      <w:proofErr w:type="spellStart"/>
      <w:r w:rsidRPr="00747244">
        <w:rPr>
          <w:rFonts w:ascii="Times New Roman" w:eastAsia="Times New Roman" w:hAnsi="Times New Roman" w:cs="Times New Roman"/>
          <w:color w:val="000000"/>
          <w:sz w:val="24"/>
          <w:szCs w:val="24"/>
        </w:rPr>
        <w:t>Aref-Eshghi</w:t>
      </w:r>
      <w:proofErr w:type="spellEnd"/>
      <w:r w:rsidRPr="00747244">
        <w:rPr>
          <w:rFonts w:ascii="Times New Roman" w:eastAsia="Times New Roman" w:hAnsi="Times New Roman" w:cs="Times New Roman"/>
          <w:color w:val="000000"/>
          <w:sz w:val="24"/>
          <w:szCs w:val="24"/>
        </w:rPr>
        <w:t xml:space="preserve">, E., Stuart, A., Rupar, C. A., Adams, P., </w:t>
      </w:r>
      <w:proofErr w:type="spellStart"/>
      <w:r w:rsidRPr="00747244">
        <w:rPr>
          <w:rFonts w:ascii="Times New Roman" w:eastAsia="Times New Roman" w:hAnsi="Times New Roman" w:cs="Times New Roman"/>
          <w:color w:val="000000"/>
          <w:sz w:val="24"/>
          <w:szCs w:val="24"/>
        </w:rPr>
        <w:t>Hegele</w:t>
      </w:r>
      <w:proofErr w:type="spellEnd"/>
      <w:r w:rsidRPr="00747244">
        <w:rPr>
          <w:rFonts w:ascii="Times New Roman" w:eastAsia="Times New Roman" w:hAnsi="Times New Roman" w:cs="Times New Roman"/>
          <w:color w:val="000000"/>
          <w:sz w:val="24"/>
          <w:szCs w:val="24"/>
        </w:rPr>
        <w:t xml:space="preserve">, R. A., Lin, H., </w:t>
      </w:r>
      <w:proofErr w:type="spellStart"/>
      <w:r w:rsidRPr="00747244">
        <w:rPr>
          <w:rFonts w:ascii="Times New Roman" w:eastAsia="Times New Roman" w:hAnsi="Times New Roman" w:cs="Times New Roman"/>
          <w:color w:val="000000"/>
          <w:sz w:val="24"/>
          <w:szCs w:val="24"/>
        </w:rPr>
        <w:t>Rodenhiser</w:t>
      </w:r>
      <w:proofErr w:type="spellEnd"/>
      <w:r w:rsidRPr="00747244">
        <w:rPr>
          <w:rFonts w:ascii="Times New Roman" w:eastAsia="Times New Roman" w:hAnsi="Times New Roman" w:cs="Times New Roman"/>
          <w:color w:val="000000"/>
          <w:sz w:val="24"/>
          <w:szCs w:val="24"/>
        </w:rPr>
        <w:t xml:space="preserve">, D., Knoll, J., Ainsworth, P. J., &amp; </w:t>
      </w:r>
      <w:proofErr w:type="spellStart"/>
      <w:r w:rsidRPr="00747244">
        <w:rPr>
          <w:rFonts w:ascii="Times New Roman" w:eastAsia="Times New Roman" w:hAnsi="Times New Roman" w:cs="Times New Roman"/>
          <w:color w:val="000000"/>
          <w:sz w:val="24"/>
          <w:szCs w:val="24"/>
        </w:rPr>
        <w:t>Sadikovic</w:t>
      </w:r>
      <w:proofErr w:type="spellEnd"/>
      <w:r w:rsidRPr="00747244">
        <w:rPr>
          <w:rFonts w:ascii="Times New Roman" w:eastAsia="Times New Roman" w:hAnsi="Times New Roman" w:cs="Times New Roman"/>
          <w:color w:val="000000"/>
          <w:sz w:val="24"/>
          <w:szCs w:val="24"/>
        </w:rPr>
        <w:t xml:space="preserve">, B. (2017). Clinical Validation of Copy Number Variant Detection from Targeted Next-Generation Sequencing Panels. </w:t>
      </w:r>
      <w:r w:rsidRPr="00747244">
        <w:rPr>
          <w:rFonts w:ascii="Times New Roman" w:eastAsia="Times New Roman" w:hAnsi="Times New Roman" w:cs="Times New Roman"/>
          <w:i/>
          <w:iCs/>
          <w:color w:val="000000"/>
          <w:sz w:val="24"/>
          <w:szCs w:val="24"/>
        </w:rPr>
        <w:t>The Journal of Molecular Diagnostics</w:t>
      </w:r>
      <w:r w:rsidRPr="00747244">
        <w:rPr>
          <w:rFonts w:ascii="Times New Roman" w:eastAsia="Times New Roman" w:hAnsi="Times New Roman" w:cs="Times New Roman"/>
          <w:color w:val="000000"/>
          <w:sz w:val="24"/>
          <w:szCs w:val="24"/>
        </w:rPr>
        <w:t xml:space="preserve">, </w:t>
      </w:r>
      <w:r w:rsidRPr="00747244">
        <w:rPr>
          <w:rFonts w:ascii="Times New Roman" w:eastAsia="Times New Roman" w:hAnsi="Times New Roman" w:cs="Times New Roman"/>
          <w:i/>
          <w:iCs/>
          <w:color w:val="000000"/>
          <w:sz w:val="24"/>
          <w:szCs w:val="24"/>
        </w:rPr>
        <w:t>19</w:t>
      </w:r>
      <w:r w:rsidRPr="00747244">
        <w:rPr>
          <w:rFonts w:ascii="Times New Roman" w:eastAsia="Times New Roman" w:hAnsi="Times New Roman" w:cs="Times New Roman"/>
          <w:color w:val="000000"/>
          <w:sz w:val="24"/>
          <w:szCs w:val="24"/>
        </w:rPr>
        <w:t>(6), 905–920. https://doi.org/10.1016/j.jmoldx.2017.07.004</w:t>
      </w:r>
    </w:p>
    <w:p w14:paraId="54BA1D37" w14:textId="11B55539" w:rsidR="00B73290" w:rsidRDefault="00747244" w:rsidP="00344602">
      <w:pPr>
        <w:shd w:val="clear" w:color="auto" w:fill="FFFFFF"/>
        <w:spacing w:after="0" w:line="240" w:lineRule="auto"/>
        <w:rPr>
          <w:rStyle w:val="Hyperlink"/>
          <w:rFonts w:ascii="Times New Roman" w:eastAsia="Times New Roman" w:hAnsi="Times New Roman" w:cs="Times New Roman"/>
          <w:sz w:val="24"/>
          <w:szCs w:val="24"/>
        </w:rPr>
      </w:pPr>
      <w:r w:rsidRPr="00747244">
        <w:rPr>
          <w:rFonts w:ascii="Times New Roman" w:eastAsia="Times New Roman" w:hAnsi="Times New Roman" w:cs="Times New Roman"/>
          <w:color w:val="000000"/>
          <w:sz w:val="24"/>
          <w:szCs w:val="24"/>
        </w:rPr>
        <w:t>‌</w:t>
      </w: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B73290">
        <w:rPr>
          <w:rFonts w:ascii="Times New Roman" w:eastAsia="Times New Roman" w:hAnsi="Times New Roman" w:cs="Times New Roman"/>
          <w:color w:val="000000"/>
          <w:sz w:val="24"/>
          <w:szCs w:val="24"/>
        </w:rPr>
        <w:t>Kleinbaum</w:t>
      </w:r>
      <w:proofErr w:type="spellEnd"/>
      <w:r w:rsidRPr="00B73290">
        <w:rPr>
          <w:rFonts w:ascii="Times New Roman" w:eastAsia="Times New Roman" w:hAnsi="Times New Roman" w:cs="Times New Roman"/>
          <w:color w:val="000000"/>
          <w:sz w:val="24"/>
          <w:szCs w:val="24"/>
        </w:rPr>
        <w:t xml:space="preserve">, D. G., &amp; Klein, M. (2012). </w:t>
      </w:r>
      <w:r w:rsidRPr="00B73290">
        <w:rPr>
          <w:rFonts w:ascii="Times New Roman" w:eastAsia="Times New Roman" w:hAnsi="Times New Roman" w:cs="Times New Roman"/>
          <w:i/>
          <w:iCs/>
          <w:color w:val="000000"/>
          <w:sz w:val="24"/>
          <w:szCs w:val="24"/>
        </w:rPr>
        <w:t xml:space="preserve">Survival </w:t>
      </w:r>
      <w:proofErr w:type="gramStart"/>
      <w:r w:rsidRPr="00B73290">
        <w:rPr>
          <w:rFonts w:ascii="Times New Roman" w:eastAsia="Times New Roman" w:hAnsi="Times New Roman" w:cs="Times New Roman"/>
          <w:i/>
          <w:iCs/>
          <w:color w:val="000000"/>
          <w:sz w:val="24"/>
          <w:szCs w:val="24"/>
        </w:rPr>
        <w:t>analysis :</w:t>
      </w:r>
      <w:proofErr w:type="gramEnd"/>
      <w:r w:rsidRPr="00B73290">
        <w:rPr>
          <w:rFonts w:ascii="Times New Roman" w:eastAsia="Times New Roman" w:hAnsi="Times New Roman" w:cs="Times New Roman"/>
          <w:i/>
          <w:iCs/>
          <w:color w:val="000000"/>
          <w:sz w:val="24"/>
          <w:szCs w:val="24"/>
        </w:rPr>
        <w:t xml:space="preserve">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51"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F6713F">
        <w:rPr>
          <w:rFonts w:ascii="Times New Roman" w:eastAsia="Times New Roman" w:hAnsi="Times New Roman" w:cs="Times New Roman"/>
          <w:color w:val="000000"/>
          <w:sz w:val="24"/>
          <w:szCs w:val="24"/>
        </w:rPr>
        <w:t>LaMorte</w:t>
      </w:r>
      <w:proofErr w:type="spellEnd"/>
      <w:r w:rsidRPr="00F6713F">
        <w:rPr>
          <w:rFonts w:ascii="Times New Roman" w:eastAsia="Times New Roman" w:hAnsi="Times New Roman" w:cs="Times New Roman"/>
          <w:color w:val="000000"/>
          <w:sz w:val="24"/>
          <w:szCs w:val="24"/>
        </w:rPr>
        <w:t xml:space="preserv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w:t>
      </w:r>
      <w:proofErr w:type="gramStart"/>
      <w:r w:rsidRPr="00F6713F">
        <w:rPr>
          <w:rFonts w:ascii="Times New Roman" w:eastAsia="Times New Roman" w:hAnsi="Times New Roman" w:cs="Times New Roman"/>
          <w:color w:val="000000"/>
          <w:sz w:val="24"/>
          <w:szCs w:val="24"/>
        </w:rPr>
        <w:t>Bu.Edu</w:t>
      </w:r>
      <w:proofErr w:type="gramEnd"/>
      <w:r w:rsidRPr="00F6713F">
        <w:rPr>
          <w:rFonts w:ascii="Times New Roman" w:eastAsia="Times New Roman" w:hAnsi="Times New Roman" w:cs="Times New Roman"/>
          <w:color w:val="000000"/>
          <w:sz w:val="24"/>
          <w:szCs w:val="24"/>
        </w:rPr>
        <w:t>;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3BD45D58" w14:textId="076C210A" w:rsidR="00B810C7" w:rsidRDefault="007431F9" w:rsidP="007431F9">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52" w:history="1">
        <w:r w:rsidRPr="007431F9">
          <w:rPr>
            <w:rStyle w:val="Hyperlink"/>
            <w:rFonts w:ascii="Times New Roman" w:eastAsia="Times New Roman" w:hAnsi="Times New Roman" w:cs="Times New Roman"/>
            <w:sz w:val="24"/>
            <w:szCs w:val="24"/>
          </w:rPr>
          <w:t>https://doi.org/10.1002/path.2998</w:t>
        </w:r>
      </w:hyperlink>
    </w:p>
    <w:p w14:paraId="5A3C3667" w14:textId="52FFE8FB" w:rsidR="002417DC" w:rsidRDefault="002417DC" w:rsidP="007431F9">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13033F0" w14:textId="77777777" w:rsidR="002417DC" w:rsidRPr="002417DC" w:rsidRDefault="002417DC" w:rsidP="002417DC">
      <w:pPr>
        <w:shd w:val="clear" w:color="auto" w:fill="FFFFFF"/>
        <w:spacing w:after="0" w:line="240" w:lineRule="auto"/>
        <w:ind w:left="720" w:hanging="720"/>
        <w:rPr>
          <w:rFonts w:ascii="Times New Roman" w:eastAsia="Times New Roman" w:hAnsi="Times New Roman" w:cs="Times New Roman"/>
          <w:color w:val="000000"/>
          <w:sz w:val="24"/>
          <w:szCs w:val="24"/>
        </w:rPr>
      </w:pPr>
      <w:r w:rsidRPr="002417DC">
        <w:rPr>
          <w:rFonts w:ascii="Times New Roman" w:eastAsia="Times New Roman" w:hAnsi="Times New Roman" w:cs="Times New Roman"/>
          <w:color w:val="000000"/>
          <w:sz w:val="24"/>
          <w:szCs w:val="24"/>
        </w:rPr>
        <w:t xml:space="preserve">Li, L., Bai, H., Yang, J., Cao, D., &amp; Shen, K. (2017). Genome-wide DNA copy number analysis in clonally expanded human ovarian cancer cells with distinct invasive/migratory capacities. </w:t>
      </w:r>
      <w:proofErr w:type="spellStart"/>
      <w:r w:rsidRPr="002417DC">
        <w:rPr>
          <w:rFonts w:ascii="Times New Roman" w:eastAsia="Times New Roman" w:hAnsi="Times New Roman" w:cs="Times New Roman"/>
          <w:i/>
          <w:iCs/>
          <w:color w:val="000000"/>
          <w:sz w:val="24"/>
          <w:szCs w:val="24"/>
        </w:rPr>
        <w:t>Oncotarget</w:t>
      </w:r>
      <w:proofErr w:type="spellEnd"/>
      <w:r w:rsidRPr="002417DC">
        <w:rPr>
          <w:rFonts w:ascii="Times New Roman" w:eastAsia="Times New Roman" w:hAnsi="Times New Roman" w:cs="Times New Roman"/>
          <w:color w:val="000000"/>
          <w:sz w:val="24"/>
          <w:szCs w:val="24"/>
        </w:rPr>
        <w:t xml:space="preserve">, </w:t>
      </w:r>
      <w:r w:rsidRPr="002417DC">
        <w:rPr>
          <w:rFonts w:ascii="Times New Roman" w:eastAsia="Times New Roman" w:hAnsi="Times New Roman" w:cs="Times New Roman"/>
          <w:i/>
          <w:iCs/>
          <w:color w:val="000000"/>
          <w:sz w:val="24"/>
          <w:szCs w:val="24"/>
        </w:rPr>
        <w:t>8</w:t>
      </w:r>
      <w:r w:rsidRPr="002417DC">
        <w:rPr>
          <w:rFonts w:ascii="Times New Roman" w:eastAsia="Times New Roman" w:hAnsi="Times New Roman" w:cs="Times New Roman"/>
          <w:color w:val="000000"/>
          <w:sz w:val="24"/>
          <w:szCs w:val="24"/>
        </w:rPr>
        <w:t>(9), 15136–15148. https://doi.org/10.18632/oncotarget.14767</w:t>
      </w:r>
    </w:p>
    <w:p w14:paraId="71456476" w14:textId="77777777" w:rsidR="002417DC" w:rsidRPr="002417DC" w:rsidRDefault="002417DC" w:rsidP="002417DC">
      <w:pPr>
        <w:shd w:val="clear" w:color="auto" w:fill="FFFFFF"/>
        <w:spacing w:after="0" w:line="240" w:lineRule="auto"/>
        <w:rPr>
          <w:rFonts w:ascii="Times New Roman" w:eastAsia="Times New Roman" w:hAnsi="Times New Roman" w:cs="Times New Roman"/>
          <w:color w:val="000000"/>
          <w:sz w:val="24"/>
          <w:szCs w:val="24"/>
        </w:rPr>
      </w:pPr>
      <w:r w:rsidRPr="002417DC">
        <w:rPr>
          <w:rFonts w:ascii="Times New Roman" w:eastAsia="Times New Roman" w:hAnsi="Times New Roman" w:cs="Times New Roman"/>
          <w:color w:val="000000"/>
          <w:sz w:val="24"/>
          <w:szCs w:val="24"/>
        </w:rPr>
        <w:t>‌</w:t>
      </w:r>
    </w:p>
    <w:p w14:paraId="50DD2DAE" w14:textId="77777777" w:rsidR="00B810C7" w:rsidRPr="00B810C7" w:rsidRDefault="00B810C7" w:rsidP="00B810C7">
      <w:pPr>
        <w:shd w:val="clear" w:color="auto" w:fill="FFFFFF"/>
        <w:spacing w:after="0" w:line="240" w:lineRule="auto"/>
        <w:ind w:left="720" w:hanging="720"/>
        <w:rPr>
          <w:rFonts w:ascii="Times New Roman" w:eastAsia="Times New Roman" w:hAnsi="Times New Roman" w:cs="Times New Roman"/>
          <w:color w:val="000000"/>
          <w:sz w:val="24"/>
          <w:szCs w:val="24"/>
        </w:rPr>
      </w:pPr>
      <w:r w:rsidRPr="00B810C7">
        <w:rPr>
          <w:rFonts w:ascii="Times New Roman" w:eastAsia="Times New Roman" w:hAnsi="Times New Roman" w:cs="Times New Roman"/>
          <w:color w:val="000000"/>
          <w:sz w:val="24"/>
          <w:szCs w:val="24"/>
        </w:rPr>
        <w:t xml:space="preserve">Li, Y. (2009). Modeling of Survival Data. In </w:t>
      </w:r>
      <w:r w:rsidRPr="00B810C7">
        <w:rPr>
          <w:rFonts w:ascii="Times New Roman" w:eastAsia="Times New Roman" w:hAnsi="Times New Roman" w:cs="Times New Roman"/>
          <w:i/>
          <w:iCs/>
          <w:color w:val="000000"/>
          <w:sz w:val="24"/>
          <w:szCs w:val="24"/>
        </w:rPr>
        <w:t>Applied Survival Analysis</w:t>
      </w:r>
      <w:r w:rsidRPr="00B810C7">
        <w:rPr>
          <w:rFonts w:ascii="Times New Roman" w:eastAsia="Times New Roman" w:hAnsi="Times New Roman" w:cs="Times New Roman"/>
          <w:color w:val="000000"/>
          <w:sz w:val="24"/>
          <w:szCs w:val="24"/>
        </w:rPr>
        <w:t xml:space="preserve"> (pp. 1–42). University of Michigan. http://www-personal.umich.edu/~yili/lect4notes.pdf</w:t>
      </w:r>
    </w:p>
    <w:p w14:paraId="502E4D51" w14:textId="77777777" w:rsidR="00B810C7" w:rsidRPr="00B810C7" w:rsidRDefault="00B810C7" w:rsidP="00B810C7">
      <w:pPr>
        <w:shd w:val="clear" w:color="auto" w:fill="FFFFFF"/>
        <w:spacing w:after="0" w:line="240" w:lineRule="auto"/>
        <w:rPr>
          <w:rFonts w:ascii="Times New Roman" w:eastAsia="Times New Roman" w:hAnsi="Times New Roman" w:cs="Times New Roman"/>
          <w:color w:val="000000"/>
          <w:sz w:val="24"/>
          <w:szCs w:val="24"/>
        </w:rPr>
      </w:pPr>
      <w:r w:rsidRPr="00B810C7">
        <w:rPr>
          <w:rFonts w:ascii="Times New Roman" w:eastAsia="Times New Roman" w:hAnsi="Times New Roman" w:cs="Times New Roman"/>
          <w:color w:val="000000"/>
          <w:sz w:val="24"/>
          <w:szCs w:val="24"/>
        </w:rPr>
        <w:t>‌</w:t>
      </w:r>
    </w:p>
    <w:p w14:paraId="59E4073E" w14:textId="4463344E" w:rsidR="0050501B"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53" w:history="1">
        <w:r w:rsidRPr="00886C0A">
          <w:rPr>
            <w:rStyle w:val="Hyperlink"/>
          </w:rPr>
          <w:t>https://doi.org/10.1016/j.cell.2018.02.052</w:t>
        </w:r>
      </w:hyperlink>
    </w:p>
    <w:p w14:paraId="2CDA7A04" w14:textId="5487B196" w:rsidR="00355277" w:rsidRDefault="00355277" w:rsidP="00646509">
      <w:pPr>
        <w:pStyle w:val="NormalWeb"/>
        <w:spacing w:before="0" w:beforeAutospacing="0" w:after="0" w:afterAutospacing="0"/>
        <w:ind w:left="720" w:hanging="720"/>
        <w:rPr>
          <w:rStyle w:val="Hyperlink"/>
        </w:rPr>
      </w:pPr>
    </w:p>
    <w:p w14:paraId="27A9B959" w14:textId="2C462E3E" w:rsidR="00355277" w:rsidRPr="00355277" w:rsidRDefault="00355277" w:rsidP="00355277">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r w:rsidRPr="00355277">
        <w:rPr>
          <w:rFonts w:ascii="Times New Roman" w:eastAsia="Times New Roman" w:hAnsi="Times New Roman" w:cs="Times New Roman"/>
          <w:i/>
          <w:iCs/>
          <w:color w:val="000000"/>
          <w:sz w:val="24"/>
          <w:szCs w:val="24"/>
        </w:rPr>
        <w:t>MalaCards</w:t>
      </w:r>
      <w:proofErr w:type="spellEnd"/>
      <w:r w:rsidRPr="00355277">
        <w:rPr>
          <w:rFonts w:ascii="Times New Roman" w:eastAsia="Times New Roman" w:hAnsi="Times New Roman" w:cs="Times New Roman"/>
          <w:color w:val="000000"/>
          <w:sz w:val="24"/>
          <w:szCs w:val="24"/>
        </w:rPr>
        <w:t>. (2021). Malacards.org. https://www.malacards.org/card/ehlers_danlos_syndrome‌</w:t>
      </w:r>
    </w:p>
    <w:p w14:paraId="7C592D8E" w14:textId="1C300C5E" w:rsidR="0050501B" w:rsidRDefault="0050501B" w:rsidP="0050501B">
      <w:pPr>
        <w:shd w:val="clear" w:color="auto" w:fill="FFFFFF"/>
        <w:spacing w:after="0" w:line="240" w:lineRule="auto"/>
        <w:ind w:left="720" w:hanging="720"/>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 xml:space="preserve">Mantel, N., &amp; Haenszel, W. (1959). Statistical Aspects of the Analysis of Data </w:t>
      </w:r>
      <w:proofErr w:type="gramStart"/>
      <w:r w:rsidRPr="0050501B">
        <w:rPr>
          <w:rFonts w:ascii="Times New Roman" w:eastAsia="Times New Roman" w:hAnsi="Times New Roman" w:cs="Times New Roman"/>
          <w:color w:val="000000"/>
          <w:sz w:val="24"/>
          <w:szCs w:val="24"/>
        </w:rPr>
        <w:t>From</w:t>
      </w:r>
      <w:proofErr w:type="gramEnd"/>
      <w:r w:rsidRPr="0050501B">
        <w:rPr>
          <w:rFonts w:ascii="Times New Roman" w:eastAsia="Times New Roman" w:hAnsi="Times New Roman" w:cs="Times New Roman"/>
          <w:color w:val="000000"/>
          <w:sz w:val="24"/>
          <w:szCs w:val="24"/>
        </w:rPr>
        <w:t xml:space="preserve"> Retrospective Studies of Disease. </w:t>
      </w:r>
      <w:r w:rsidRPr="0050501B">
        <w:rPr>
          <w:rFonts w:ascii="Times New Roman" w:eastAsia="Times New Roman" w:hAnsi="Times New Roman" w:cs="Times New Roman"/>
          <w:i/>
          <w:iCs/>
          <w:color w:val="000000"/>
          <w:sz w:val="24"/>
          <w:szCs w:val="24"/>
        </w:rPr>
        <w:t>Journal of the National Cancer Institute</w:t>
      </w:r>
      <w:r w:rsidRPr="0050501B">
        <w:rPr>
          <w:rFonts w:ascii="Times New Roman" w:eastAsia="Times New Roman" w:hAnsi="Times New Roman" w:cs="Times New Roman"/>
          <w:color w:val="000000"/>
          <w:sz w:val="24"/>
          <w:szCs w:val="24"/>
        </w:rPr>
        <w:t xml:space="preserve">, </w:t>
      </w:r>
      <w:r w:rsidRPr="0050501B">
        <w:rPr>
          <w:rFonts w:ascii="Times New Roman" w:eastAsia="Times New Roman" w:hAnsi="Times New Roman" w:cs="Times New Roman"/>
          <w:i/>
          <w:iCs/>
          <w:color w:val="000000"/>
          <w:sz w:val="24"/>
          <w:szCs w:val="24"/>
        </w:rPr>
        <w:t>22</w:t>
      </w:r>
      <w:r w:rsidRPr="0050501B">
        <w:rPr>
          <w:rFonts w:ascii="Times New Roman" w:eastAsia="Times New Roman" w:hAnsi="Times New Roman" w:cs="Times New Roman"/>
          <w:color w:val="000000"/>
          <w:sz w:val="24"/>
          <w:szCs w:val="24"/>
        </w:rPr>
        <w:t xml:space="preserve">(4), 719–745. </w:t>
      </w:r>
      <w:hyperlink r:id="rId54" w:history="1">
        <w:r w:rsidR="003A01E1" w:rsidRPr="00C86249">
          <w:rPr>
            <w:rStyle w:val="Hyperlink"/>
            <w:rFonts w:ascii="Times New Roman" w:eastAsia="Times New Roman" w:hAnsi="Times New Roman" w:cs="Times New Roman"/>
            <w:sz w:val="24"/>
            <w:szCs w:val="24"/>
          </w:rPr>
          <w:t>https://doi.org/10.1093/jnci/22.4.719</w:t>
        </w:r>
      </w:hyperlink>
    </w:p>
    <w:p w14:paraId="0D4A130C" w14:textId="7FAF142F" w:rsidR="003A01E1" w:rsidRDefault="003A01E1" w:rsidP="0050501B">
      <w:pPr>
        <w:shd w:val="clear" w:color="auto" w:fill="FFFFFF"/>
        <w:spacing w:after="0" w:line="240" w:lineRule="auto"/>
        <w:ind w:left="720" w:hanging="720"/>
        <w:rPr>
          <w:rFonts w:ascii="Times New Roman" w:eastAsia="Times New Roman" w:hAnsi="Times New Roman" w:cs="Times New Roman"/>
          <w:color w:val="000000"/>
          <w:sz w:val="24"/>
          <w:szCs w:val="24"/>
        </w:rPr>
      </w:pPr>
    </w:p>
    <w:p w14:paraId="5A7F8E62" w14:textId="103987C2" w:rsidR="003A01E1" w:rsidRDefault="003A01E1" w:rsidP="003A01E1">
      <w:pPr>
        <w:shd w:val="clear" w:color="auto" w:fill="FFFFFF"/>
        <w:spacing w:after="0" w:line="240" w:lineRule="auto"/>
        <w:ind w:left="720" w:hanging="720"/>
        <w:rPr>
          <w:rFonts w:ascii="Times New Roman" w:eastAsia="Times New Roman" w:hAnsi="Times New Roman" w:cs="Times New Roman"/>
          <w:color w:val="000000"/>
          <w:sz w:val="24"/>
          <w:szCs w:val="24"/>
        </w:rPr>
      </w:pPr>
      <w:r w:rsidRPr="003A01E1">
        <w:rPr>
          <w:rFonts w:ascii="Times New Roman" w:eastAsia="Times New Roman" w:hAnsi="Times New Roman" w:cs="Times New Roman"/>
          <w:color w:val="000000"/>
          <w:sz w:val="24"/>
          <w:szCs w:val="24"/>
        </w:rPr>
        <w:lastRenderedPageBreak/>
        <w:t xml:space="preserve">Martinez, R. L. M. C. (2007). Diagnostics for Choosing between Log-Rank and Wilcoxon Tests. </w:t>
      </w:r>
      <w:r w:rsidRPr="003A01E1">
        <w:rPr>
          <w:rFonts w:ascii="Times New Roman" w:eastAsia="Times New Roman" w:hAnsi="Times New Roman" w:cs="Times New Roman"/>
          <w:i/>
          <w:iCs/>
          <w:color w:val="000000"/>
          <w:sz w:val="24"/>
          <w:szCs w:val="24"/>
        </w:rPr>
        <w:t>Dissertations</w:t>
      </w:r>
      <w:r w:rsidRPr="003A01E1">
        <w:rPr>
          <w:rFonts w:ascii="Times New Roman" w:eastAsia="Times New Roman" w:hAnsi="Times New Roman" w:cs="Times New Roman"/>
          <w:color w:val="000000"/>
          <w:sz w:val="24"/>
          <w:szCs w:val="24"/>
        </w:rPr>
        <w:t xml:space="preserve">. </w:t>
      </w:r>
      <w:hyperlink r:id="rId55" w:history="1">
        <w:r w:rsidR="00376BD2" w:rsidRPr="003A01E1">
          <w:rPr>
            <w:rStyle w:val="Hyperlink"/>
            <w:rFonts w:ascii="Times New Roman" w:eastAsia="Times New Roman" w:hAnsi="Times New Roman" w:cs="Times New Roman"/>
            <w:sz w:val="24"/>
            <w:szCs w:val="24"/>
          </w:rPr>
          <w:t>https://scholarworks.wmich.edu/dissertations/895</w:t>
        </w:r>
      </w:hyperlink>
    </w:p>
    <w:p w14:paraId="1EFA5291" w14:textId="240590AA" w:rsidR="00376BD2" w:rsidRDefault="00376BD2" w:rsidP="003A01E1">
      <w:pPr>
        <w:shd w:val="clear" w:color="auto" w:fill="FFFFFF"/>
        <w:spacing w:after="0" w:line="240" w:lineRule="auto"/>
        <w:ind w:left="720" w:hanging="720"/>
        <w:rPr>
          <w:rFonts w:ascii="Times New Roman" w:eastAsia="Times New Roman" w:hAnsi="Times New Roman" w:cs="Times New Roman"/>
          <w:color w:val="000000"/>
          <w:sz w:val="24"/>
          <w:szCs w:val="24"/>
        </w:rPr>
      </w:pPr>
    </w:p>
    <w:p w14:paraId="10442FEB" w14:textId="4FCDB1AF" w:rsidR="00376BD2" w:rsidRDefault="00376BD2" w:rsidP="00376BD2">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76BD2">
        <w:rPr>
          <w:rFonts w:ascii="Times New Roman" w:eastAsia="Times New Roman" w:hAnsi="Times New Roman" w:cs="Times New Roman"/>
          <w:color w:val="000000"/>
          <w:sz w:val="24"/>
          <w:szCs w:val="24"/>
        </w:rPr>
        <w:t>Molteni</w:t>
      </w:r>
      <w:proofErr w:type="spellEnd"/>
      <w:r w:rsidRPr="00376BD2">
        <w:rPr>
          <w:rFonts w:ascii="Times New Roman" w:eastAsia="Times New Roman" w:hAnsi="Times New Roman" w:cs="Times New Roman"/>
          <w:color w:val="000000"/>
          <w:sz w:val="24"/>
          <w:szCs w:val="24"/>
        </w:rPr>
        <w:t xml:space="preserve">, M. (2019, May 1). The US Urgently Needs New Genetic Privacy Laws. </w:t>
      </w:r>
      <w:r w:rsidRPr="00376BD2">
        <w:rPr>
          <w:rFonts w:ascii="Times New Roman" w:eastAsia="Times New Roman" w:hAnsi="Times New Roman" w:cs="Times New Roman"/>
          <w:i/>
          <w:iCs/>
          <w:color w:val="000000"/>
          <w:sz w:val="24"/>
          <w:szCs w:val="24"/>
        </w:rPr>
        <w:t>Wired</w:t>
      </w:r>
      <w:r w:rsidRPr="00376BD2">
        <w:rPr>
          <w:rFonts w:ascii="Times New Roman" w:eastAsia="Times New Roman" w:hAnsi="Times New Roman" w:cs="Times New Roman"/>
          <w:color w:val="000000"/>
          <w:sz w:val="24"/>
          <w:szCs w:val="24"/>
        </w:rPr>
        <w:t xml:space="preserve">. </w:t>
      </w:r>
      <w:hyperlink r:id="rId56" w:history="1">
        <w:r w:rsidR="00A62D3E" w:rsidRPr="00803DFD">
          <w:rPr>
            <w:rStyle w:val="Hyperlink"/>
            <w:rFonts w:ascii="Times New Roman" w:eastAsia="Times New Roman" w:hAnsi="Times New Roman" w:cs="Times New Roman"/>
            <w:sz w:val="24"/>
            <w:szCs w:val="24"/>
          </w:rPr>
          <w:t>https://www.wired.com/story/the-us-urgently-needs-new-genetic-privacy-laws/</w:t>
        </w:r>
      </w:hyperlink>
    </w:p>
    <w:p w14:paraId="6308BF0B" w14:textId="7C835316" w:rsidR="00A62D3E" w:rsidRDefault="00A62D3E" w:rsidP="00376BD2">
      <w:pPr>
        <w:shd w:val="clear" w:color="auto" w:fill="FFFFFF"/>
        <w:spacing w:after="0" w:line="240" w:lineRule="auto"/>
        <w:ind w:left="720" w:hanging="720"/>
        <w:rPr>
          <w:rFonts w:ascii="Times New Roman" w:eastAsia="Times New Roman" w:hAnsi="Times New Roman" w:cs="Times New Roman"/>
          <w:color w:val="000000"/>
          <w:sz w:val="24"/>
          <w:szCs w:val="24"/>
        </w:rPr>
      </w:pPr>
    </w:p>
    <w:p w14:paraId="04359E9F" w14:textId="0585FCAC" w:rsidR="0050501B" w:rsidRPr="0050501B" w:rsidRDefault="00A62D3E" w:rsidP="00A62D3E">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A62D3E">
        <w:rPr>
          <w:rFonts w:ascii="Times New Roman" w:eastAsia="Times New Roman" w:hAnsi="Times New Roman" w:cs="Times New Roman"/>
          <w:color w:val="000000"/>
          <w:sz w:val="24"/>
          <w:szCs w:val="24"/>
        </w:rPr>
        <w:t>Muntner</w:t>
      </w:r>
      <w:proofErr w:type="spellEnd"/>
      <w:r w:rsidRPr="00A62D3E">
        <w:rPr>
          <w:rFonts w:ascii="Times New Roman" w:eastAsia="Times New Roman" w:hAnsi="Times New Roman" w:cs="Times New Roman"/>
          <w:color w:val="000000"/>
          <w:sz w:val="24"/>
          <w:szCs w:val="24"/>
        </w:rPr>
        <w:t xml:space="preserve">, P., </w:t>
      </w:r>
      <w:proofErr w:type="spellStart"/>
      <w:r w:rsidRPr="00A62D3E">
        <w:rPr>
          <w:rFonts w:ascii="Times New Roman" w:eastAsia="Times New Roman" w:hAnsi="Times New Roman" w:cs="Times New Roman"/>
          <w:color w:val="000000"/>
          <w:sz w:val="24"/>
          <w:szCs w:val="24"/>
        </w:rPr>
        <w:t>Shimbo</w:t>
      </w:r>
      <w:proofErr w:type="spellEnd"/>
      <w:r w:rsidRPr="00A62D3E">
        <w:rPr>
          <w:rFonts w:ascii="Times New Roman" w:eastAsia="Times New Roman" w:hAnsi="Times New Roman" w:cs="Times New Roman"/>
          <w:color w:val="000000"/>
          <w:sz w:val="24"/>
          <w:szCs w:val="24"/>
        </w:rPr>
        <w:t xml:space="preserve">, D., Tonelli, M., Reynolds, K., Arnett, D. K., &amp; </w:t>
      </w:r>
      <w:proofErr w:type="spellStart"/>
      <w:r w:rsidRPr="00A62D3E">
        <w:rPr>
          <w:rFonts w:ascii="Times New Roman" w:eastAsia="Times New Roman" w:hAnsi="Times New Roman" w:cs="Times New Roman"/>
          <w:color w:val="000000"/>
          <w:sz w:val="24"/>
          <w:szCs w:val="24"/>
        </w:rPr>
        <w:t>Oparil</w:t>
      </w:r>
      <w:proofErr w:type="spellEnd"/>
      <w:r w:rsidRPr="00A62D3E">
        <w:rPr>
          <w:rFonts w:ascii="Times New Roman" w:eastAsia="Times New Roman" w:hAnsi="Times New Roman" w:cs="Times New Roman"/>
          <w:color w:val="000000"/>
          <w:sz w:val="24"/>
          <w:szCs w:val="24"/>
        </w:rPr>
        <w:t xml:space="preserve">, S. (2011). The Relationship Between Visit-to-Visit Variability in Systolic Blood Pressure and All-Cause Mortality in the General Population. </w:t>
      </w:r>
      <w:r w:rsidRPr="00A62D3E">
        <w:rPr>
          <w:rFonts w:ascii="Times New Roman" w:eastAsia="Times New Roman" w:hAnsi="Times New Roman" w:cs="Times New Roman"/>
          <w:i/>
          <w:iCs/>
          <w:color w:val="000000"/>
          <w:sz w:val="24"/>
          <w:szCs w:val="24"/>
        </w:rPr>
        <w:t>Hypertension</w:t>
      </w:r>
      <w:r w:rsidRPr="00A62D3E">
        <w:rPr>
          <w:rFonts w:ascii="Times New Roman" w:eastAsia="Times New Roman" w:hAnsi="Times New Roman" w:cs="Times New Roman"/>
          <w:color w:val="000000"/>
          <w:sz w:val="24"/>
          <w:szCs w:val="24"/>
        </w:rPr>
        <w:t xml:space="preserve">, </w:t>
      </w:r>
      <w:r w:rsidRPr="00A62D3E">
        <w:rPr>
          <w:rFonts w:ascii="Times New Roman" w:eastAsia="Times New Roman" w:hAnsi="Times New Roman" w:cs="Times New Roman"/>
          <w:i/>
          <w:iCs/>
          <w:color w:val="000000"/>
          <w:sz w:val="24"/>
          <w:szCs w:val="24"/>
        </w:rPr>
        <w:t>57</w:t>
      </w:r>
      <w:r w:rsidRPr="00A62D3E">
        <w:rPr>
          <w:rFonts w:ascii="Times New Roman" w:eastAsia="Times New Roman" w:hAnsi="Times New Roman" w:cs="Times New Roman"/>
          <w:color w:val="000000"/>
          <w:sz w:val="24"/>
          <w:szCs w:val="24"/>
        </w:rPr>
        <w:t>(2), 160–166. https://doi.org/10.1161/hypertensionaha.110.162255</w:t>
      </w:r>
    </w:p>
    <w:p w14:paraId="5DEFA3A9" w14:textId="4C02EB05" w:rsidR="008A5AB3" w:rsidRDefault="008A5AB3" w:rsidP="008A5AB3">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t>
      </w:r>
      <w:proofErr w:type="gramStart"/>
      <w:r w:rsidRPr="008A5AB3">
        <w:rPr>
          <w:rFonts w:ascii="Times New Roman" w:eastAsia="Times New Roman" w:hAnsi="Times New Roman" w:cs="Times New Roman"/>
          <w:color w:val="000000"/>
          <w:sz w:val="24"/>
          <w:szCs w:val="24"/>
        </w:rPr>
        <w:t>Www.Ncbi.Nlm.Nih</w:t>
      </w:r>
      <w:proofErr w:type="gramEnd"/>
      <w:r w:rsidRPr="008A5AB3">
        <w:rPr>
          <w:rFonts w:ascii="Times New Roman" w:eastAsia="Times New Roman" w:hAnsi="Times New Roman" w:cs="Times New Roman"/>
          <w:color w:val="000000"/>
          <w:sz w:val="24"/>
          <w:szCs w:val="24"/>
        </w:rPr>
        <w:t xml:space="preserve">.Gov; NCBI. </w:t>
      </w:r>
      <w:hyperlink r:id="rId57" w:history="1">
        <w:r w:rsidR="00977390" w:rsidRPr="00E730C2">
          <w:rPr>
            <w:rStyle w:val="Hyperlink"/>
            <w:rFonts w:ascii="Times New Roman" w:eastAsia="Times New Roman" w:hAnsi="Times New Roman" w:cs="Times New Roman"/>
            <w:sz w:val="24"/>
            <w:szCs w:val="24"/>
          </w:rPr>
          <w:t>https://www.ncbi.nlm.nih.gov/gene/1303</w:t>
        </w:r>
      </w:hyperlink>
    </w:p>
    <w:p w14:paraId="26FEFBBB" w14:textId="1F0BF167" w:rsidR="00AE6653" w:rsidRDefault="00AE665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D598429" w14:textId="77777777" w:rsidR="00AE6653" w:rsidRPr="00AE6653" w:rsidRDefault="00AE6653" w:rsidP="00AE6653">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AE6653">
        <w:rPr>
          <w:rFonts w:ascii="Times New Roman" w:eastAsia="Times New Roman" w:hAnsi="Times New Roman" w:cs="Times New Roman"/>
          <w:color w:val="000000"/>
          <w:sz w:val="24"/>
          <w:szCs w:val="24"/>
        </w:rPr>
        <w:t>Omurlu</w:t>
      </w:r>
      <w:proofErr w:type="spellEnd"/>
      <w:r w:rsidRPr="00AE6653">
        <w:rPr>
          <w:rFonts w:ascii="Times New Roman" w:eastAsia="Times New Roman" w:hAnsi="Times New Roman" w:cs="Times New Roman"/>
          <w:color w:val="000000"/>
          <w:sz w:val="24"/>
          <w:szCs w:val="24"/>
        </w:rPr>
        <w:t xml:space="preserve">, I. K., </w:t>
      </w:r>
      <w:proofErr w:type="spellStart"/>
      <w:r w:rsidRPr="00AE6653">
        <w:rPr>
          <w:rFonts w:ascii="Times New Roman" w:eastAsia="Times New Roman" w:hAnsi="Times New Roman" w:cs="Times New Roman"/>
          <w:color w:val="000000"/>
          <w:sz w:val="24"/>
          <w:szCs w:val="24"/>
        </w:rPr>
        <w:t>Ozdamar</w:t>
      </w:r>
      <w:proofErr w:type="spellEnd"/>
      <w:r w:rsidRPr="00AE6653">
        <w:rPr>
          <w:rFonts w:ascii="Times New Roman" w:eastAsia="Times New Roman" w:hAnsi="Times New Roman" w:cs="Times New Roman"/>
          <w:color w:val="000000"/>
          <w:sz w:val="24"/>
          <w:szCs w:val="24"/>
        </w:rPr>
        <w:t xml:space="preserve">, K., &amp; Ture, M. (2009). Comparison of Bayesian survival analysis and Cox regression analysis in simulated and breast cancer data sets. </w:t>
      </w:r>
      <w:r w:rsidRPr="00AE6653">
        <w:rPr>
          <w:rFonts w:ascii="Times New Roman" w:eastAsia="Times New Roman" w:hAnsi="Times New Roman" w:cs="Times New Roman"/>
          <w:i/>
          <w:iCs/>
          <w:color w:val="000000"/>
          <w:sz w:val="24"/>
          <w:szCs w:val="24"/>
        </w:rPr>
        <w:t>Expert Systems with Applications</w:t>
      </w:r>
      <w:r w:rsidRPr="00AE6653">
        <w:rPr>
          <w:rFonts w:ascii="Times New Roman" w:eastAsia="Times New Roman" w:hAnsi="Times New Roman" w:cs="Times New Roman"/>
          <w:color w:val="000000"/>
          <w:sz w:val="24"/>
          <w:szCs w:val="24"/>
        </w:rPr>
        <w:t xml:space="preserve">, </w:t>
      </w:r>
      <w:r w:rsidRPr="00AE6653">
        <w:rPr>
          <w:rFonts w:ascii="Times New Roman" w:eastAsia="Times New Roman" w:hAnsi="Times New Roman" w:cs="Times New Roman"/>
          <w:i/>
          <w:iCs/>
          <w:color w:val="000000"/>
          <w:sz w:val="24"/>
          <w:szCs w:val="24"/>
        </w:rPr>
        <w:t>36</w:t>
      </w:r>
      <w:r w:rsidRPr="00AE6653">
        <w:rPr>
          <w:rFonts w:ascii="Times New Roman" w:eastAsia="Times New Roman" w:hAnsi="Times New Roman" w:cs="Times New Roman"/>
          <w:color w:val="000000"/>
          <w:sz w:val="24"/>
          <w:szCs w:val="24"/>
        </w:rPr>
        <w:t>(8), 11341–11346. https://doi.org/10.1016/j.eswa.2009.03.058</w:t>
      </w:r>
    </w:p>
    <w:p w14:paraId="2E2FE9E5" w14:textId="6FBC2858" w:rsidR="00AE6653" w:rsidRDefault="00AE6653" w:rsidP="00AE6653">
      <w:pPr>
        <w:shd w:val="clear" w:color="auto" w:fill="FFFFFF"/>
        <w:spacing w:after="0" w:line="240" w:lineRule="auto"/>
        <w:rPr>
          <w:rFonts w:ascii="Times New Roman" w:eastAsia="Times New Roman" w:hAnsi="Times New Roman" w:cs="Times New Roman"/>
          <w:color w:val="000000"/>
          <w:sz w:val="24"/>
          <w:szCs w:val="24"/>
        </w:rPr>
      </w:pPr>
      <w:r w:rsidRPr="00AE6653">
        <w:rPr>
          <w:rFonts w:ascii="Times New Roman" w:eastAsia="Times New Roman" w:hAnsi="Times New Roman" w:cs="Times New Roman"/>
          <w:color w:val="000000"/>
          <w:sz w:val="24"/>
          <w:szCs w:val="24"/>
        </w:rPr>
        <w:t>‌</w:t>
      </w:r>
    </w:p>
    <w:p w14:paraId="2064AA03" w14:textId="7A470981" w:rsidR="00A12325" w:rsidRDefault="00A12325" w:rsidP="00A12325">
      <w:pPr>
        <w:shd w:val="clear" w:color="auto" w:fill="FFFFFF"/>
        <w:spacing w:after="0" w:line="240" w:lineRule="auto"/>
        <w:ind w:left="720" w:hanging="720"/>
        <w:rPr>
          <w:rFonts w:ascii="Times New Roman" w:eastAsia="Times New Roman" w:hAnsi="Times New Roman" w:cs="Times New Roman"/>
          <w:color w:val="000000"/>
          <w:sz w:val="24"/>
          <w:szCs w:val="24"/>
        </w:rPr>
      </w:pPr>
      <w:r w:rsidRPr="00A12325">
        <w:rPr>
          <w:rFonts w:ascii="Times New Roman" w:eastAsia="Times New Roman" w:hAnsi="Times New Roman" w:cs="Times New Roman"/>
          <w:color w:val="000000"/>
          <w:sz w:val="24"/>
          <w:szCs w:val="24"/>
        </w:rPr>
        <w:t xml:space="preserve">Ostrander, E. (n.d.). </w:t>
      </w:r>
      <w:r w:rsidRPr="00A12325">
        <w:rPr>
          <w:rFonts w:ascii="Times New Roman" w:eastAsia="Times New Roman" w:hAnsi="Times New Roman" w:cs="Times New Roman"/>
          <w:i/>
          <w:iCs/>
          <w:color w:val="000000"/>
          <w:sz w:val="24"/>
          <w:szCs w:val="24"/>
        </w:rPr>
        <w:t>Pseudogene</w:t>
      </w:r>
      <w:r w:rsidRPr="00A12325">
        <w:rPr>
          <w:rFonts w:ascii="Times New Roman" w:eastAsia="Times New Roman" w:hAnsi="Times New Roman" w:cs="Times New Roman"/>
          <w:color w:val="000000"/>
          <w:sz w:val="24"/>
          <w:szCs w:val="24"/>
        </w:rPr>
        <w:t>. Genome.gov. https://www.genome.gov/genetics-glossary/Pseudogene</w:t>
      </w:r>
    </w:p>
    <w:p w14:paraId="2746B011" w14:textId="77777777" w:rsidR="00A12325" w:rsidRPr="00AE6653" w:rsidRDefault="00A12325" w:rsidP="00AE6653">
      <w:pPr>
        <w:shd w:val="clear" w:color="auto" w:fill="FFFFFF"/>
        <w:spacing w:after="0" w:line="240" w:lineRule="auto"/>
        <w:rPr>
          <w:rFonts w:ascii="Times New Roman" w:eastAsia="Times New Roman" w:hAnsi="Times New Roman" w:cs="Times New Roman"/>
          <w:color w:val="000000"/>
          <w:sz w:val="24"/>
          <w:szCs w:val="24"/>
        </w:rPr>
      </w:pPr>
    </w:p>
    <w:p w14:paraId="71BE5C80" w14:textId="79D8773A"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 xml:space="preserve">(50), 157–175. </w:t>
      </w:r>
      <w:hyperlink r:id="rId58" w:history="1">
        <w:r w:rsidR="00463C08" w:rsidRPr="003C2C25">
          <w:rPr>
            <w:rStyle w:val="Hyperlink"/>
            <w:rFonts w:ascii="Times New Roman" w:eastAsia="Times New Roman" w:hAnsi="Times New Roman" w:cs="Times New Roman"/>
            <w:sz w:val="24"/>
            <w:szCs w:val="24"/>
          </w:rPr>
          <w:t>http://www.economics.soton.ac.uk/staff/aldrich/1900.pdf</w:t>
        </w:r>
      </w:hyperlink>
      <w:r w:rsidR="00304767">
        <w:rPr>
          <w:rStyle w:val="Hyperlink"/>
          <w:rFonts w:ascii="Times New Roman" w:eastAsia="Times New Roman" w:hAnsi="Times New Roman" w:cs="Times New Roman"/>
          <w:sz w:val="24"/>
          <w:szCs w:val="24"/>
        </w:rPr>
        <w:br/>
      </w:r>
    </w:p>
    <w:p w14:paraId="79009938" w14:textId="6FF3E2AB" w:rsidR="00463C08" w:rsidRDefault="00463C08"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 xml:space="preserve">Perry, G. H. (2008). The evolutionary significance of copy number variation in the human genome. </w:t>
      </w:r>
      <w:r w:rsidRPr="00463C08">
        <w:rPr>
          <w:rFonts w:ascii="Times New Roman" w:eastAsia="Times New Roman" w:hAnsi="Times New Roman" w:cs="Times New Roman"/>
          <w:i/>
          <w:iCs/>
          <w:color w:val="000000"/>
          <w:sz w:val="24"/>
          <w:szCs w:val="24"/>
        </w:rPr>
        <w:t>Cytogenetic and Genome Research</w:t>
      </w:r>
      <w:r w:rsidRPr="00463C08">
        <w:rPr>
          <w:rFonts w:ascii="Times New Roman" w:eastAsia="Times New Roman" w:hAnsi="Times New Roman" w:cs="Times New Roman"/>
          <w:color w:val="000000"/>
          <w:sz w:val="24"/>
          <w:szCs w:val="24"/>
        </w:rPr>
        <w:t xml:space="preserve">, </w:t>
      </w:r>
      <w:r w:rsidRPr="00463C08">
        <w:rPr>
          <w:rFonts w:ascii="Times New Roman" w:eastAsia="Times New Roman" w:hAnsi="Times New Roman" w:cs="Times New Roman"/>
          <w:i/>
          <w:iCs/>
          <w:color w:val="000000"/>
          <w:sz w:val="24"/>
          <w:szCs w:val="24"/>
        </w:rPr>
        <w:t>123</w:t>
      </w:r>
      <w:r w:rsidRPr="00463C08">
        <w:rPr>
          <w:rFonts w:ascii="Times New Roman" w:eastAsia="Times New Roman" w:hAnsi="Times New Roman" w:cs="Times New Roman"/>
          <w:color w:val="000000"/>
          <w:sz w:val="24"/>
          <w:szCs w:val="24"/>
        </w:rPr>
        <w:t xml:space="preserve">(1-4), 283–287. </w:t>
      </w:r>
      <w:hyperlink r:id="rId59" w:history="1">
        <w:r w:rsidR="00660667" w:rsidRPr="00654208">
          <w:rPr>
            <w:rStyle w:val="Hyperlink"/>
            <w:rFonts w:ascii="Times New Roman" w:eastAsia="Times New Roman" w:hAnsi="Times New Roman" w:cs="Times New Roman"/>
            <w:sz w:val="24"/>
            <w:szCs w:val="24"/>
          </w:rPr>
          <w:t>https://doi.org/10.1159/000184719</w:t>
        </w:r>
      </w:hyperlink>
    </w:p>
    <w:p w14:paraId="372BBDAE" w14:textId="7A4BA38B" w:rsidR="00660667" w:rsidRDefault="00660667" w:rsidP="00463C08">
      <w:pPr>
        <w:shd w:val="clear" w:color="auto" w:fill="FFFFFF"/>
        <w:spacing w:after="0" w:line="240" w:lineRule="auto"/>
        <w:ind w:left="720" w:hanging="720"/>
        <w:rPr>
          <w:rFonts w:ascii="Times New Roman" w:eastAsia="Times New Roman" w:hAnsi="Times New Roman" w:cs="Times New Roman"/>
          <w:color w:val="000000"/>
          <w:sz w:val="24"/>
          <w:szCs w:val="24"/>
        </w:rPr>
      </w:pPr>
    </w:p>
    <w:p w14:paraId="42CDFB37" w14:textId="4B87C60A" w:rsidR="00660667" w:rsidRDefault="00660667" w:rsidP="00463C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660667">
        <w:rPr>
          <w:rFonts w:ascii="Times New Roman" w:eastAsia="Times New Roman" w:hAnsi="Times New Roman" w:cs="Times New Roman"/>
          <w:color w:val="000000"/>
          <w:sz w:val="24"/>
          <w:szCs w:val="24"/>
        </w:rPr>
        <w:t>Peto</w:t>
      </w:r>
      <w:proofErr w:type="spellEnd"/>
      <w:r w:rsidRPr="00660667">
        <w:rPr>
          <w:rFonts w:ascii="Times New Roman" w:eastAsia="Times New Roman" w:hAnsi="Times New Roman" w:cs="Times New Roman"/>
          <w:color w:val="000000"/>
          <w:sz w:val="24"/>
          <w:szCs w:val="24"/>
        </w:rPr>
        <w:t xml:space="preserve">, R., &amp; </w:t>
      </w:r>
      <w:proofErr w:type="spellStart"/>
      <w:r w:rsidRPr="00660667">
        <w:rPr>
          <w:rFonts w:ascii="Times New Roman" w:eastAsia="Times New Roman" w:hAnsi="Times New Roman" w:cs="Times New Roman"/>
          <w:color w:val="000000"/>
          <w:sz w:val="24"/>
          <w:szCs w:val="24"/>
        </w:rPr>
        <w:t>Peto</w:t>
      </w:r>
      <w:proofErr w:type="spellEnd"/>
      <w:r w:rsidRPr="00660667">
        <w:rPr>
          <w:rFonts w:ascii="Times New Roman" w:eastAsia="Times New Roman" w:hAnsi="Times New Roman" w:cs="Times New Roman"/>
          <w:color w:val="000000"/>
          <w:sz w:val="24"/>
          <w:szCs w:val="24"/>
        </w:rPr>
        <w:t xml:space="preserve">, J. (1972). Asymptotically Efficient Rank Invariant Test Procedures. </w:t>
      </w:r>
      <w:r w:rsidRPr="00660667">
        <w:rPr>
          <w:rFonts w:ascii="Times New Roman" w:eastAsia="Times New Roman" w:hAnsi="Times New Roman" w:cs="Times New Roman"/>
          <w:i/>
          <w:iCs/>
          <w:color w:val="000000"/>
          <w:sz w:val="24"/>
          <w:szCs w:val="24"/>
        </w:rPr>
        <w:t>Journal of the Royal Statistical Society. Series a (General)</w:t>
      </w:r>
      <w:r w:rsidRPr="00660667">
        <w:rPr>
          <w:rFonts w:ascii="Times New Roman" w:eastAsia="Times New Roman" w:hAnsi="Times New Roman" w:cs="Times New Roman"/>
          <w:color w:val="000000"/>
          <w:sz w:val="24"/>
          <w:szCs w:val="24"/>
        </w:rPr>
        <w:t xml:space="preserve">, </w:t>
      </w:r>
      <w:r w:rsidRPr="00660667">
        <w:rPr>
          <w:rFonts w:ascii="Times New Roman" w:eastAsia="Times New Roman" w:hAnsi="Times New Roman" w:cs="Times New Roman"/>
          <w:i/>
          <w:iCs/>
          <w:color w:val="000000"/>
          <w:sz w:val="24"/>
          <w:szCs w:val="24"/>
        </w:rPr>
        <w:t>135</w:t>
      </w:r>
      <w:r w:rsidRPr="00660667">
        <w:rPr>
          <w:rFonts w:ascii="Times New Roman" w:eastAsia="Times New Roman" w:hAnsi="Times New Roman" w:cs="Times New Roman"/>
          <w:color w:val="000000"/>
          <w:sz w:val="24"/>
          <w:szCs w:val="24"/>
        </w:rPr>
        <w:t xml:space="preserve">(2), 185. </w:t>
      </w:r>
      <w:hyperlink r:id="rId60" w:history="1">
        <w:r w:rsidR="000631FD" w:rsidRPr="00803DFD">
          <w:rPr>
            <w:rStyle w:val="Hyperlink"/>
            <w:rFonts w:ascii="Times New Roman" w:eastAsia="Times New Roman" w:hAnsi="Times New Roman" w:cs="Times New Roman"/>
            <w:sz w:val="24"/>
            <w:szCs w:val="24"/>
          </w:rPr>
          <w:t>https://doi.org/10.2307/2344317</w:t>
        </w:r>
      </w:hyperlink>
    </w:p>
    <w:p w14:paraId="76C9F320" w14:textId="32C5485F" w:rsidR="000631FD" w:rsidRDefault="000631FD" w:rsidP="00463C08">
      <w:pPr>
        <w:shd w:val="clear" w:color="auto" w:fill="FFFFFF"/>
        <w:spacing w:after="0" w:line="240" w:lineRule="auto"/>
        <w:ind w:left="720" w:hanging="720"/>
        <w:rPr>
          <w:rFonts w:ascii="Times New Roman" w:eastAsia="Times New Roman" w:hAnsi="Times New Roman" w:cs="Times New Roman"/>
          <w:color w:val="000000"/>
          <w:sz w:val="24"/>
          <w:szCs w:val="24"/>
        </w:rPr>
      </w:pPr>
    </w:p>
    <w:p w14:paraId="55763D13" w14:textId="295575FF" w:rsidR="000631FD" w:rsidRPr="00463C08" w:rsidRDefault="000631FD"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0631FD">
        <w:rPr>
          <w:rFonts w:ascii="Times New Roman" w:eastAsia="Times New Roman" w:hAnsi="Times New Roman" w:cs="Times New Roman"/>
          <w:color w:val="000000"/>
          <w:sz w:val="24"/>
          <w:szCs w:val="24"/>
        </w:rPr>
        <w:t xml:space="preserve">Poon, I. K. H., Lucas, C. D., Rossi, A. G., &amp; Ravichandran, K. S. (2014). Apoptotic cell clearance: basic biology and therapeutic potential. </w:t>
      </w:r>
      <w:r w:rsidRPr="000631FD">
        <w:rPr>
          <w:rFonts w:ascii="Times New Roman" w:eastAsia="Times New Roman" w:hAnsi="Times New Roman" w:cs="Times New Roman"/>
          <w:i/>
          <w:iCs/>
          <w:color w:val="000000"/>
          <w:sz w:val="24"/>
          <w:szCs w:val="24"/>
        </w:rPr>
        <w:t>Nature Reviews Immunology</w:t>
      </w:r>
      <w:r w:rsidRPr="000631FD">
        <w:rPr>
          <w:rFonts w:ascii="Times New Roman" w:eastAsia="Times New Roman" w:hAnsi="Times New Roman" w:cs="Times New Roman"/>
          <w:color w:val="000000"/>
          <w:sz w:val="24"/>
          <w:szCs w:val="24"/>
        </w:rPr>
        <w:t xml:space="preserve">, </w:t>
      </w:r>
      <w:r w:rsidRPr="000631FD">
        <w:rPr>
          <w:rFonts w:ascii="Times New Roman" w:eastAsia="Times New Roman" w:hAnsi="Times New Roman" w:cs="Times New Roman"/>
          <w:i/>
          <w:iCs/>
          <w:color w:val="000000"/>
          <w:sz w:val="24"/>
          <w:szCs w:val="24"/>
        </w:rPr>
        <w:t>14</w:t>
      </w:r>
      <w:r w:rsidRPr="000631FD">
        <w:rPr>
          <w:rFonts w:ascii="Times New Roman" w:eastAsia="Times New Roman" w:hAnsi="Times New Roman" w:cs="Times New Roman"/>
          <w:color w:val="000000"/>
          <w:sz w:val="24"/>
          <w:szCs w:val="24"/>
        </w:rPr>
        <w:t>(3), 166–180. https://doi.org/10.1038/nri3607</w:t>
      </w:r>
    </w:p>
    <w:p w14:paraId="58DB0C0E" w14:textId="1EAB0A65" w:rsidR="00960894" w:rsidRDefault="00463C08" w:rsidP="00463C08">
      <w:pPr>
        <w:shd w:val="clear" w:color="auto" w:fill="FFFFFF"/>
        <w:spacing w:after="0" w:line="240" w:lineRule="auto"/>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8A5AB3"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 xml:space="preserve">Indian Journal of Community </w:t>
      </w:r>
      <w:proofErr w:type="gramStart"/>
      <w:r w:rsidR="00960894" w:rsidRPr="00960894">
        <w:rPr>
          <w:rFonts w:ascii="Times New Roman" w:eastAsia="Times New Roman" w:hAnsi="Times New Roman" w:cs="Times New Roman"/>
          <w:i/>
          <w:iCs/>
          <w:color w:val="000000"/>
          <w:sz w:val="24"/>
          <w:szCs w:val="24"/>
        </w:rPr>
        <w:t>Medicine :</w:t>
      </w:r>
      <w:proofErr w:type="gramEnd"/>
      <w:r w:rsidR="00960894" w:rsidRPr="00960894">
        <w:rPr>
          <w:rFonts w:ascii="Times New Roman" w:eastAsia="Times New Roman" w:hAnsi="Times New Roman" w:cs="Times New Roman"/>
          <w:i/>
          <w:iCs/>
          <w:color w:val="000000"/>
          <w:sz w:val="24"/>
          <w:szCs w:val="24"/>
        </w:rPr>
        <w:t xml:space="preserve">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hyperlink r:id="rId61" w:history="1">
        <w:r w:rsidR="00817607" w:rsidRPr="00524641">
          <w:rPr>
            <w:rStyle w:val="Hyperlink"/>
            <w:rFonts w:ascii="Times New Roman" w:eastAsia="Times New Roman" w:hAnsi="Times New Roman" w:cs="Times New Roman"/>
            <w:sz w:val="24"/>
            <w:szCs w:val="24"/>
          </w:rPr>
          <w:t>https://doi.org/10.4103/0970-0218.66859</w:t>
        </w:r>
      </w:hyperlink>
    </w:p>
    <w:p w14:paraId="473466A7" w14:textId="22BA7E17" w:rsidR="00817607" w:rsidRDefault="00817607" w:rsidP="00463C08">
      <w:pPr>
        <w:shd w:val="clear" w:color="auto" w:fill="FFFFFF"/>
        <w:spacing w:after="0" w:line="240" w:lineRule="auto"/>
        <w:rPr>
          <w:rFonts w:ascii="Times New Roman" w:eastAsia="Times New Roman" w:hAnsi="Times New Roman" w:cs="Times New Roman"/>
          <w:color w:val="000000"/>
          <w:sz w:val="24"/>
          <w:szCs w:val="24"/>
        </w:rPr>
      </w:pPr>
    </w:p>
    <w:p w14:paraId="6783F113" w14:textId="415C244D" w:rsidR="00817607" w:rsidRPr="00960894" w:rsidRDefault="00817607" w:rsidP="00817607">
      <w:pPr>
        <w:shd w:val="clear" w:color="auto" w:fill="FFFFFF"/>
        <w:spacing w:after="0" w:line="240" w:lineRule="auto"/>
        <w:ind w:left="720" w:hanging="720"/>
        <w:rPr>
          <w:rFonts w:ascii="Times New Roman" w:eastAsia="Times New Roman" w:hAnsi="Times New Roman" w:cs="Times New Roman"/>
          <w:color w:val="000000"/>
          <w:sz w:val="24"/>
          <w:szCs w:val="24"/>
        </w:rPr>
      </w:pPr>
      <w:r w:rsidRPr="00817607">
        <w:rPr>
          <w:rFonts w:ascii="Times New Roman" w:eastAsia="Times New Roman" w:hAnsi="Times New Roman" w:cs="Times New Roman"/>
          <w:color w:val="000000"/>
          <w:sz w:val="24"/>
          <w:szCs w:val="24"/>
        </w:rPr>
        <w:t xml:space="preserve">Reid, B. M., </w:t>
      </w:r>
      <w:proofErr w:type="spellStart"/>
      <w:r w:rsidRPr="00817607">
        <w:rPr>
          <w:rFonts w:ascii="Times New Roman" w:eastAsia="Times New Roman" w:hAnsi="Times New Roman" w:cs="Times New Roman"/>
          <w:color w:val="000000"/>
          <w:sz w:val="24"/>
          <w:szCs w:val="24"/>
        </w:rPr>
        <w:t>Permuth</w:t>
      </w:r>
      <w:proofErr w:type="spellEnd"/>
      <w:r w:rsidRPr="00817607">
        <w:rPr>
          <w:rFonts w:ascii="Times New Roman" w:eastAsia="Times New Roman" w:hAnsi="Times New Roman" w:cs="Times New Roman"/>
          <w:color w:val="000000"/>
          <w:sz w:val="24"/>
          <w:szCs w:val="24"/>
        </w:rPr>
        <w:t xml:space="preserve">, J. B., Chen, Y. A., Fridley, B. L., Iversen, E. S., Chen, Z., Jim, H., </w:t>
      </w:r>
      <w:proofErr w:type="spellStart"/>
      <w:r w:rsidRPr="00817607">
        <w:rPr>
          <w:rFonts w:ascii="Times New Roman" w:eastAsia="Times New Roman" w:hAnsi="Times New Roman" w:cs="Times New Roman"/>
          <w:color w:val="000000"/>
          <w:sz w:val="24"/>
          <w:szCs w:val="24"/>
        </w:rPr>
        <w:t>Vierkant</w:t>
      </w:r>
      <w:proofErr w:type="spellEnd"/>
      <w:r w:rsidRPr="00817607">
        <w:rPr>
          <w:rFonts w:ascii="Times New Roman" w:eastAsia="Times New Roman" w:hAnsi="Times New Roman" w:cs="Times New Roman"/>
          <w:color w:val="000000"/>
          <w:sz w:val="24"/>
          <w:szCs w:val="24"/>
        </w:rPr>
        <w:t xml:space="preserve">, R. A., Cunningham, J. M., </w:t>
      </w:r>
      <w:proofErr w:type="spellStart"/>
      <w:r w:rsidRPr="00817607">
        <w:rPr>
          <w:rFonts w:ascii="Times New Roman" w:eastAsia="Times New Roman" w:hAnsi="Times New Roman" w:cs="Times New Roman"/>
          <w:color w:val="000000"/>
          <w:sz w:val="24"/>
          <w:szCs w:val="24"/>
        </w:rPr>
        <w:t>Barnholtz</w:t>
      </w:r>
      <w:proofErr w:type="spellEnd"/>
      <w:r w:rsidRPr="00817607">
        <w:rPr>
          <w:rFonts w:ascii="Times New Roman" w:eastAsia="Times New Roman" w:hAnsi="Times New Roman" w:cs="Times New Roman"/>
          <w:color w:val="000000"/>
          <w:sz w:val="24"/>
          <w:szCs w:val="24"/>
        </w:rPr>
        <w:t xml:space="preserve">-Sloan, J. S., </w:t>
      </w:r>
      <w:proofErr w:type="spellStart"/>
      <w:r w:rsidRPr="00817607">
        <w:rPr>
          <w:rFonts w:ascii="Times New Roman" w:eastAsia="Times New Roman" w:hAnsi="Times New Roman" w:cs="Times New Roman"/>
          <w:color w:val="000000"/>
          <w:sz w:val="24"/>
          <w:szCs w:val="24"/>
        </w:rPr>
        <w:t>Narod</w:t>
      </w:r>
      <w:proofErr w:type="spellEnd"/>
      <w:r w:rsidRPr="00817607">
        <w:rPr>
          <w:rFonts w:ascii="Times New Roman" w:eastAsia="Times New Roman" w:hAnsi="Times New Roman" w:cs="Times New Roman"/>
          <w:color w:val="000000"/>
          <w:sz w:val="24"/>
          <w:szCs w:val="24"/>
        </w:rPr>
        <w:t xml:space="preserve">, S., </w:t>
      </w:r>
      <w:proofErr w:type="spellStart"/>
      <w:r w:rsidRPr="00817607">
        <w:rPr>
          <w:rFonts w:ascii="Times New Roman" w:eastAsia="Times New Roman" w:hAnsi="Times New Roman" w:cs="Times New Roman"/>
          <w:color w:val="000000"/>
          <w:sz w:val="24"/>
          <w:szCs w:val="24"/>
        </w:rPr>
        <w:t>Risch</w:t>
      </w:r>
      <w:proofErr w:type="spellEnd"/>
      <w:r w:rsidRPr="00817607">
        <w:rPr>
          <w:rFonts w:ascii="Times New Roman" w:eastAsia="Times New Roman" w:hAnsi="Times New Roman" w:cs="Times New Roman"/>
          <w:color w:val="000000"/>
          <w:sz w:val="24"/>
          <w:szCs w:val="24"/>
        </w:rPr>
        <w:t xml:space="preserve">, H., Schildkraut, J. M., Goode, E. L., Monteiro, A. N., &amp; Sellers, T. A. (2019). Genome-wide Analysis of Common Copy Number Variation and Epithelial Ovarian Cancer Risk. </w:t>
      </w:r>
      <w:r w:rsidRPr="00817607">
        <w:rPr>
          <w:rFonts w:ascii="Times New Roman" w:eastAsia="Times New Roman" w:hAnsi="Times New Roman" w:cs="Times New Roman"/>
          <w:i/>
          <w:iCs/>
          <w:color w:val="000000"/>
          <w:sz w:val="24"/>
          <w:szCs w:val="24"/>
        </w:rPr>
        <w:lastRenderedPageBreak/>
        <w:t>Cancer Epidemiology Biomarkers &amp; Prevention</w:t>
      </w:r>
      <w:r w:rsidRPr="00817607">
        <w:rPr>
          <w:rFonts w:ascii="Times New Roman" w:eastAsia="Times New Roman" w:hAnsi="Times New Roman" w:cs="Times New Roman"/>
          <w:color w:val="000000"/>
          <w:sz w:val="24"/>
          <w:szCs w:val="24"/>
        </w:rPr>
        <w:t xml:space="preserve">, </w:t>
      </w:r>
      <w:r w:rsidRPr="00817607">
        <w:rPr>
          <w:rFonts w:ascii="Times New Roman" w:eastAsia="Times New Roman" w:hAnsi="Times New Roman" w:cs="Times New Roman"/>
          <w:i/>
          <w:iCs/>
          <w:color w:val="000000"/>
          <w:sz w:val="24"/>
          <w:szCs w:val="24"/>
        </w:rPr>
        <w:t>28</w:t>
      </w:r>
      <w:r w:rsidRPr="00817607">
        <w:rPr>
          <w:rFonts w:ascii="Times New Roman" w:eastAsia="Times New Roman" w:hAnsi="Times New Roman" w:cs="Times New Roman"/>
          <w:color w:val="000000"/>
          <w:sz w:val="24"/>
          <w:szCs w:val="24"/>
        </w:rPr>
        <w:t>(7), 1117–1126. https://doi.org/10.1158/1055-9965.epi-18-0833‌</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62"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 xml:space="preserve">Rich, J. T., Neely, J. G., </w:t>
      </w:r>
      <w:proofErr w:type="spellStart"/>
      <w:r w:rsidRPr="00757E88">
        <w:rPr>
          <w:rFonts w:ascii="Times New Roman" w:eastAsia="Times New Roman" w:hAnsi="Times New Roman" w:cs="Times New Roman"/>
          <w:color w:val="000000"/>
          <w:sz w:val="24"/>
          <w:szCs w:val="24"/>
        </w:rPr>
        <w:t>Paniello</w:t>
      </w:r>
      <w:proofErr w:type="spellEnd"/>
      <w:r w:rsidRPr="00757E88">
        <w:rPr>
          <w:rFonts w:ascii="Times New Roman" w:eastAsia="Times New Roman" w:hAnsi="Times New Roman" w:cs="Times New Roman"/>
          <w:color w:val="000000"/>
          <w:sz w:val="24"/>
          <w:szCs w:val="24"/>
        </w:rPr>
        <w:t xml:space="preserve">, R. C., Voelker, C. C. J., </w:t>
      </w:r>
      <w:proofErr w:type="spellStart"/>
      <w:r w:rsidRPr="00757E88">
        <w:rPr>
          <w:rFonts w:ascii="Times New Roman" w:eastAsia="Times New Roman" w:hAnsi="Times New Roman" w:cs="Times New Roman"/>
          <w:color w:val="000000"/>
          <w:sz w:val="24"/>
          <w:szCs w:val="24"/>
        </w:rPr>
        <w:t>Nussenbaum</w:t>
      </w:r>
      <w:proofErr w:type="spellEnd"/>
      <w:r w:rsidRPr="00757E88">
        <w:rPr>
          <w:rFonts w:ascii="Times New Roman" w:eastAsia="Times New Roman" w:hAnsi="Times New Roman" w:cs="Times New Roman"/>
          <w:color w:val="000000"/>
          <w:sz w:val="24"/>
          <w:szCs w:val="24"/>
        </w:rPr>
        <w:t xml:space="preserve">,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1B360DE8" w:rsidR="00C84892" w:rsidRDefault="00757E88" w:rsidP="00757E88">
      <w:pPr>
        <w:shd w:val="clear" w:color="auto" w:fill="FFFFFF"/>
        <w:spacing w:before="100" w:beforeAutospacing="1" w:after="100" w:afterAutospacing="1" w:line="240" w:lineRule="auto"/>
        <w:rPr>
          <w:rStyle w:val="Hyperlink"/>
          <w:rFonts w:ascii="Times New Roman" w:eastAsia="Times New Roman" w:hAnsi="Times New Roman" w:cs="Times New Roman"/>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 xml:space="preserve">Rocher, L., </w:t>
      </w:r>
      <w:proofErr w:type="spellStart"/>
      <w:r w:rsidR="00F93ED0" w:rsidRPr="00F93ED0">
        <w:rPr>
          <w:rFonts w:ascii="Times New Roman" w:eastAsia="Times New Roman" w:hAnsi="Times New Roman" w:cs="Times New Roman"/>
          <w:color w:val="000000"/>
          <w:sz w:val="24"/>
          <w:szCs w:val="24"/>
        </w:rPr>
        <w:t>Hendrickx</w:t>
      </w:r>
      <w:proofErr w:type="spellEnd"/>
      <w:r w:rsidR="00F93ED0" w:rsidRPr="00F93ED0">
        <w:rPr>
          <w:rFonts w:ascii="Times New Roman" w:eastAsia="Times New Roman" w:hAnsi="Times New Roman" w:cs="Times New Roman"/>
          <w:color w:val="000000"/>
          <w:sz w:val="24"/>
          <w:szCs w:val="24"/>
        </w:rPr>
        <w:t xml:space="preserve">, J. M., &amp; de </w:t>
      </w:r>
      <w:proofErr w:type="spellStart"/>
      <w:r w:rsidR="00F93ED0" w:rsidRPr="00F93ED0">
        <w:rPr>
          <w:rFonts w:ascii="Times New Roman" w:eastAsia="Times New Roman" w:hAnsi="Times New Roman" w:cs="Times New Roman"/>
          <w:color w:val="000000"/>
          <w:sz w:val="24"/>
          <w:szCs w:val="24"/>
        </w:rPr>
        <w:t>Montjoye</w:t>
      </w:r>
      <w:proofErr w:type="spellEnd"/>
      <w:r w:rsidR="00F93ED0" w:rsidRPr="00F93ED0">
        <w:rPr>
          <w:rFonts w:ascii="Times New Roman" w:eastAsia="Times New Roman" w:hAnsi="Times New Roman" w:cs="Times New Roman"/>
          <w:color w:val="000000"/>
          <w:sz w:val="24"/>
          <w:szCs w:val="24"/>
        </w:rPr>
        <w:t>,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63" w:history="1">
        <w:r w:rsidR="00C84892" w:rsidRPr="00636B86">
          <w:rPr>
            <w:rStyle w:val="Hyperlink"/>
            <w:rFonts w:ascii="Times New Roman" w:eastAsia="Times New Roman" w:hAnsi="Times New Roman" w:cs="Times New Roman"/>
            <w:sz w:val="24"/>
            <w:szCs w:val="24"/>
          </w:rPr>
          <w:t>https://doi.org/10.1038/s41467-019-10933-3</w:t>
        </w:r>
      </w:hyperlink>
    </w:p>
    <w:p w14:paraId="5D423550" w14:textId="256692B5" w:rsidR="00126E81" w:rsidRDefault="00126E81" w:rsidP="00126E81">
      <w:pPr>
        <w:shd w:val="clear" w:color="auto" w:fill="FFFFFF"/>
        <w:spacing w:after="0" w:line="240" w:lineRule="auto"/>
        <w:ind w:left="720" w:hanging="720"/>
        <w:rPr>
          <w:rFonts w:ascii="Times New Roman" w:eastAsia="Times New Roman" w:hAnsi="Times New Roman" w:cs="Times New Roman"/>
          <w:color w:val="000000"/>
          <w:sz w:val="24"/>
          <w:szCs w:val="24"/>
        </w:rPr>
      </w:pPr>
      <w:r w:rsidRPr="00126E81">
        <w:rPr>
          <w:rFonts w:ascii="Times New Roman" w:eastAsia="Times New Roman" w:hAnsi="Times New Roman" w:cs="Times New Roman"/>
          <w:color w:val="000000"/>
          <w:sz w:val="24"/>
          <w:szCs w:val="24"/>
        </w:rPr>
        <w:t xml:space="preserve">RStudio Team (2021). RStudio: Integrated Development for R. RStudio, PBC, Boston, MA URL http://www.rstudio.com/. </w:t>
      </w:r>
    </w:p>
    <w:p w14:paraId="6B16EEC3" w14:textId="69D293D7" w:rsidR="00B61983" w:rsidRDefault="00B61983" w:rsidP="00126E81">
      <w:pPr>
        <w:shd w:val="clear" w:color="auto" w:fill="FFFFFF"/>
        <w:spacing w:after="0" w:line="240" w:lineRule="auto"/>
        <w:ind w:left="720" w:hanging="720"/>
        <w:rPr>
          <w:rFonts w:ascii="Times New Roman" w:eastAsia="Times New Roman" w:hAnsi="Times New Roman" w:cs="Times New Roman"/>
          <w:color w:val="000000"/>
          <w:sz w:val="24"/>
          <w:szCs w:val="24"/>
        </w:rPr>
      </w:pPr>
    </w:p>
    <w:p w14:paraId="75ED521E" w14:textId="77777777" w:rsidR="00B61983" w:rsidRPr="00B61983" w:rsidRDefault="00B61983" w:rsidP="00B61983">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61983">
        <w:rPr>
          <w:rFonts w:ascii="Times New Roman" w:eastAsia="Times New Roman" w:hAnsi="Times New Roman" w:cs="Times New Roman"/>
          <w:color w:val="000000"/>
          <w:sz w:val="24"/>
          <w:szCs w:val="24"/>
        </w:rPr>
        <w:t>Scheffer</w:t>
      </w:r>
      <w:proofErr w:type="spellEnd"/>
      <w:r w:rsidRPr="00B61983">
        <w:rPr>
          <w:rFonts w:ascii="Times New Roman" w:eastAsia="Times New Roman" w:hAnsi="Times New Roman" w:cs="Times New Roman"/>
          <w:color w:val="000000"/>
          <w:sz w:val="24"/>
          <w:szCs w:val="24"/>
        </w:rPr>
        <w:t xml:space="preserve">, L., Rao Raghavendra, P., Ma, J., &amp; K. Acharya, J. (2011). Ceramide Transfer Protein and Cancer. </w:t>
      </w:r>
      <w:r w:rsidRPr="00B61983">
        <w:rPr>
          <w:rFonts w:ascii="Times New Roman" w:eastAsia="Times New Roman" w:hAnsi="Times New Roman" w:cs="Times New Roman"/>
          <w:i/>
          <w:iCs/>
          <w:color w:val="000000"/>
          <w:sz w:val="24"/>
          <w:szCs w:val="24"/>
        </w:rPr>
        <w:t>Anti-Cancer Agents in Medicinal Chemistry</w:t>
      </w:r>
      <w:r w:rsidRPr="00B61983">
        <w:rPr>
          <w:rFonts w:ascii="Times New Roman" w:eastAsia="Times New Roman" w:hAnsi="Times New Roman" w:cs="Times New Roman"/>
          <w:color w:val="000000"/>
          <w:sz w:val="24"/>
          <w:szCs w:val="24"/>
        </w:rPr>
        <w:t xml:space="preserve">, </w:t>
      </w:r>
      <w:r w:rsidRPr="00B61983">
        <w:rPr>
          <w:rFonts w:ascii="Times New Roman" w:eastAsia="Times New Roman" w:hAnsi="Times New Roman" w:cs="Times New Roman"/>
          <w:i/>
          <w:iCs/>
          <w:color w:val="000000"/>
          <w:sz w:val="24"/>
          <w:szCs w:val="24"/>
        </w:rPr>
        <w:t>11</w:t>
      </w:r>
      <w:r w:rsidRPr="00B61983">
        <w:rPr>
          <w:rFonts w:ascii="Times New Roman" w:eastAsia="Times New Roman" w:hAnsi="Times New Roman" w:cs="Times New Roman"/>
          <w:color w:val="000000"/>
          <w:sz w:val="24"/>
          <w:szCs w:val="24"/>
        </w:rPr>
        <w:t>(9), 904–910. https://doi.org/10.2174/187152011797655087</w:t>
      </w:r>
    </w:p>
    <w:p w14:paraId="2C7432C6" w14:textId="77777777" w:rsidR="00B61983" w:rsidRPr="00B61983" w:rsidRDefault="00B61983" w:rsidP="00B61983">
      <w:pPr>
        <w:shd w:val="clear" w:color="auto" w:fill="FFFFFF"/>
        <w:spacing w:after="0" w:line="240" w:lineRule="auto"/>
        <w:rPr>
          <w:rFonts w:ascii="Times New Roman" w:eastAsia="Times New Roman" w:hAnsi="Times New Roman" w:cs="Times New Roman"/>
          <w:color w:val="000000"/>
          <w:sz w:val="24"/>
          <w:szCs w:val="24"/>
        </w:rPr>
      </w:pPr>
      <w:r w:rsidRPr="00B61983">
        <w:rPr>
          <w:rFonts w:ascii="Times New Roman" w:eastAsia="Times New Roman" w:hAnsi="Times New Roman" w:cs="Times New Roman"/>
          <w:color w:val="000000"/>
          <w:sz w:val="24"/>
          <w:szCs w:val="24"/>
        </w:rPr>
        <w:t>‌</w:t>
      </w:r>
    </w:p>
    <w:p w14:paraId="0B1DBF26" w14:textId="28C102CF"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64" w:history="1">
        <w:r w:rsidR="00CC7C37" w:rsidRPr="00AF7090">
          <w:rPr>
            <w:rStyle w:val="Hyperlink"/>
          </w:rPr>
          <w:t>https://doi.org/10.1213/ane.0000000000003653</w:t>
        </w:r>
      </w:hyperlink>
    </w:p>
    <w:p w14:paraId="0F9598F7" w14:textId="791A066E" w:rsidR="007A6472" w:rsidRDefault="007A6472" w:rsidP="00CC7C37">
      <w:pPr>
        <w:pStyle w:val="NormalWeb"/>
        <w:shd w:val="clear" w:color="auto" w:fill="FFFFFF"/>
        <w:spacing w:before="0" w:beforeAutospacing="0" w:after="0" w:afterAutospacing="0"/>
        <w:ind w:left="720" w:hanging="720"/>
        <w:rPr>
          <w:color w:val="000000"/>
        </w:rPr>
      </w:pPr>
    </w:p>
    <w:p w14:paraId="5AAC02C5" w14:textId="4225A42C" w:rsidR="007A6472" w:rsidRDefault="007A6472" w:rsidP="007A6472">
      <w:pPr>
        <w:shd w:val="clear" w:color="auto" w:fill="FFFFFF"/>
        <w:spacing w:after="0" w:line="240" w:lineRule="auto"/>
        <w:ind w:left="720" w:hanging="720"/>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 xml:space="preserve">Shaikh, T. H. (2017). Copy Number Variation Disorders. </w:t>
      </w:r>
      <w:r w:rsidRPr="007A6472">
        <w:rPr>
          <w:rFonts w:ascii="Times New Roman" w:eastAsia="Times New Roman" w:hAnsi="Times New Roman" w:cs="Times New Roman"/>
          <w:i/>
          <w:iCs/>
          <w:color w:val="000000"/>
          <w:sz w:val="24"/>
          <w:szCs w:val="24"/>
        </w:rPr>
        <w:t>Current Genetic Medicine Reports</w:t>
      </w:r>
      <w:r w:rsidRPr="007A6472">
        <w:rPr>
          <w:rFonts w:ascii="Times New Roman" w:eastAsia="Times New Roman" w:hAnsi="Times New Roman" w:cs="Times New Roman"/>
          <w:color w:val="000000"/>
          <w:sz w:val="24"/>
          <w:szCs w:val="24"/>
        </w:rPr>
        <w:t xml:space="preserve">, </w:t>
      </w:r>
      <w:r w:rsidRPr="007A6472">
        <w:rPr>
          <w:rFonts w:ascii="Times New Roman" w:eastAsia="Times New Roman" w:hAnsi="Times New Roman" w:cs="Times New Roman"/>
          <w:i/>
          <w:iCs/>
          <w:color w:val="000000"/>
          <w:sz w:val="24"/>
          <w:szCs w:val="24"/>
        </w:rPr>
        <w:t>5</w:t>
      </w:r>
      <w:r w:rsidRPr="007A6472">
        <w:rPr>
          <w:rFonts w:ascii="Times New Roman" w:eastAsia="Times New Roman" w:hAnsi="Times New Roman" w:cs="Times New Roman"/>
          <w:color w:val="000000"/>
          <w:sz w:val="24"/>
          <w:szCs w:val="24"/>
        </w:rPr>
        <w:t xml:space="preserve">(4), 183–190. </w:t>
      </w:r>
      <w:hyperlink r:id="rId65" w:history="1">
        <w:r w:rsidR="00913B6A" w:rsidRPr="00524641">
          <w:rPr>
            <w:rStyle w:val="Hyperlink"/>
            <w:rFonts w:ascii="Times New Roman" w:eastAsia="Times New Roman" w:hAnsi="Times New Roman" w:cs="Times New Roman"/>
            <w:sz w:val="24"/>
            <w:szCs w:val="24"/>
          </w:rPr>
          <w:t>https://doi.org/10.1007/s40142-017-0129-2\</w:t>
        </w:r>
      </w:hyperlink>
    </w:p>
    <w:p w14:paraId="2933284C" w14:textId="77777777" w:rsidR="00913B6A" w:rsidRPr="00913B6A" w:rsidRDefault="00913B6A" w:rsidP="00913B6A">
      <w:pPr>
        <w:shd w:val="clear" w:color="auto" w:fill="FFFFFF"/>
        <w:spacing w:after="0" w:line="240" w:lineRule="auto"/>
        <w:ind w:left="720" w:hanging="720"/>
        <w:rPr>
          <w:rFonts w:ascii="Times New Roman" w:eastAsia="Times New Roman" w:hAnsi="Times New Roman" w:cs="Times New Roman"/>
          <w:color w:val="000000"/>
          <w:sz w:val="24"/>
          <w:szCs w:val="24"/>
        </w:rPr>
      </w:pPr>
      <w:r w:rsidRPr="00913B6A">
        <w:rPr>
          <w:rFonts w:ascii="Times New Roman" w:eastAsia="Times New Roman" w:hAnsi="Times New Roman" w:cs="Times New Roman"/>
          <w:color w:val="000000"/>
          <w:sz w:val="24"/>
          <w:szCs w:val="24"/>
        </w:rPr>
        <w:t xml:space="preserve">Shao, X., </w:t>
      </w:r>
      <w:proofErr w:type="spellStart"/>
      <w:r w:rsidRPr="00913B6A">
        <w:rPr>
          <w:rFonts w:ascii="Times New Roman" w:eastAsia="Times New Roman" w:hAnsi="Times New Roman" w:cs="Times New Roman"/>
          <w:color w:val="000000"/>
          <w:sz w:val="24"/>
          <w:szCs w:val="24"/>
        </w:rPr>
        <w:t>Lv</w:t>
      </w:r>
      <w:proofErr w:type="spellEnd"/>
      <w:r w:rsidRPr="00913B6A">
        <w:rPr>
          <w:rFonts w:ascii="Times New Roman" w:eastAsia="Times New Roman" w:hAnsi="Times New Roman" w:cs="Times New Roman"/>
          <w:color w:val="000000"/>
          <w:sz w:val="24"/>
          <w:szCs w:val="24"/>
        </w:rPr>
        <w:t xml:space="preserve">, N., Liao, J., Long, J., </w:t>
      </w:r>
      <w:proofErr w:type="spellStart"/>
      <w:r w:rsidRPr="00913B6A">
        <w:rPr>
          <w:rFonts w:ascii="Times New Roman" w:eastAsia="Times New Roman" w:hAnsi="Times New Roman" w:cs="Times New Roman"/>
          <w:color w:val="000000"/>
          <w:sz w:val="24"/>
          <w:szCs w:val="24"/>
        </w:rPr>
        <w:t>Xue</w:t>
      </w:r>
      <w:proofErr w:type="spellEnd"/>
      <w:r w:rsidRPr="00913B6A">
        <w:rPr>
          <w:rFonts w:ascii="Times New Roman" w:eastAsia="Times New Roman" w:hAnsi="Times New Roman" w:cs="Times New Roman"/>
          <w:color w:val="000000"/>
          <w:sz w:val="24"/>
          <w:szCs w:val="24"/>
        </w:rPr>
        <w:t xml:space="preserve">, R., Ai, N., Xu, D., &amp; Fan, X. (2019). Copy number variation is highly correlated with differential gene expression: a pan-cancer study. </w:t>
      </w:r>
      <w:r w:rsidRPr="00913B6A">
        <w:rPr>
          <w:rFonts w:ascii="Times New Roman" w:eastAsia="Times New Roman" w:hAnsi="Times New Roman" w:cs="Times New Roman"/>
          <w:i/>
          <w:iCs/>
          <w:color w:val="000000"/>
          <w:sz w:val="24"/>
          <w:szCs w:val="24"/>
        </w:rPr>
        <w:t>BMC Medical Genetics</w:t>
      </w:r>
      <w:r w:rsidRPr="00913B6A">
        <w:rPr>
          <w:rFonts w:ascii="Times New Roman" w:eastAsia="Times New Roman" w:hAnsi="Times New Roman" w:cs="Times New Roman"/>
          <w:color w:val="000000"/>
          <w:sz w:val="24"/>
          <w:szCs w:val="24"/>
        </w:rPr>
        <w:t xml:space="preserve">, </w:t>
      </w:r>
      <w:r w:rsidRPr="00913B6A">
        <w:rPr>
          <w:rFonts w:ascii="Times New Roman" w:eastAsia="Times New Roman" w:hAnsi="Times New Roman" w:cs="Times New Roman"/>
          <w:i/>
          <w:iCs/>
          <w:color w:val="000000"/>
          <w:sz w:val="24"/>
          <w:szCs w:val="24"/>
        </w:rPr>
        <w:t>20</w:t>
      </w:r>
      <w:r w:rsidRPr="00913B6A">
        <w:rPr>
          <w:rFonts w:ascii="Times New Roman" w:eastAsia="Times New Roman" w:hAnsi="Times New Roman" w:cs="Times New Roman"/>
          <w:color w:val="000000"/>
          <w:sz w:val="24"/>
          <w:szCs w:val="24"/>
        </w:rPr>
        <w:t>(1). https://doi.org/10.1186/s12881-019-0909-5</w:t>
      </w:r>
    </w:p>
    <w:p w14:paraId="2A9DB052" w14:textId="77777777" w:rsidR="00913B6A" w:rsidRPr="00913B6A" w:rsidRDefault="00913B6A" w:rsidP="00913B6A">
      <w:pPr>
        <w:shd w:val="clear" w:color="auto" w:fill="FFFFFF"/>
        <w:spacing w:after="0" w:line="240" w:lineRule="auto"/>
        <w:rPr>
          <w:rFonts w:ascii="Times New Roman" w:eastAsia="Times New Roman" w:hAnsi="Times New Roman" w:cs="Times New Roman"/>
          <w:color w:val="000000"/>
          <w:sz w:val="24"/>
          <w:szCs w:val="24"/>
        </w:rPr>
      </w:pPr>
      <w:r w:rsidRPr="00913B6A">
        <w:rPr>
          <w:rFonts w:ascii="Times New Roman" w:eastAsia="Times New Roman" w:hAnsi="Times New Roman" w:cs="Times New Roman"/>
          <w:color w:val="000000"/>
          <w:sz w:val="24"/>
          <w:szCs w:val="24"/>
        </w:rPr>
        <w:t>‌</w:t>
      </w:r>
    </w:p>
    <w:p w14:paraId="1B356AEF" w14:textId="0750BF5E" w:rsidR="007563BD" w:rsidRDefault="00CC7C37" w:rsidP="00CC7C37">
      <w:pPr>
        <w:pStyle w:val="NormalWeb"/>
        <w:shd w:val="clear" w:color="auto" w:fill="FFFFFF"/>
        <w:spacing w:before="0" w:beforeAutospacing="0" w:after="0" w:afterAutospacing="0"/>
        <w:ind w:left="720" w:hanging="720"/>
        <w:rPr>
          <w:rStyle w:val="Hyperlink"/>
        </w:rPr>
      </w:pPr>
      <w:r w:rsidRPr="00CC7C37">
        <w:rPr>
          <w:color w:val="000000"/>
        </w:rPr>
        <w:t xml:space="preserve">Sharp, A. J., Locke, D. P., McGrath, S. D., Cheng, Z., Bailey, J. A., </w:t>
      </w:r>
      <w:proofErr w:type="spellStart"/>
      <w:r w:rsidRPr="00CC7C37">
        <w:rPr>
          <w:color w:val="000000"/>
        </w:rPr>
        <w:t>Vallente</w:t>
      </w:r>
      <w:proofErr w:type="spellEnd"/>
      <w:r w:rsidRPr="00CC7C37">
        <w:rPr>
          <w:color w:val="000000"/>
        </w:rPr>
        <w:t xml:space="preserve">, R. U., </w:t>
      </w:r>
      <w:proofErr w:type="spellStart"/>
      <w:r w:rsidRPr="00CC7C37">
        <w:rPr>
          <w:color w:val="000000"/>
        </w:rPr>
        <w:t>Pertz</w:t>
      </w:r>
      <w:proofErr w:type="spellEnd"/>
      <w:r w:rsidRPr="00CC7C37">
        <w:rPr>
          <w:color w:val="000000"/>
        </w:rPr>
        <w:t xml:space="preserve">, L. M., Clark, R. A., Schwartz, S., </w:t>
      </w:r>
      <w:proofErr w:type="spellStart"/>
      <w:r w:rsidRPr="00CC7C37">
        <w:rPr>
          <w:color w:val="000000"/>
        </w:rPr>
        <w:t>Segraves</w:t>
      </w:r>
      <w:proofErr w:type="spellEnd"/>
      <w:r w:rsidRPr="00CC7C37">
        <w:rPr>
          <w:color w:val="000000"/>
        </w:rPr>
        <w:t xml:space="preserve">, R., </w:t>
      </w:r>
      <w:proofErr w:type="spellStart"/>
      <w:r w:rsidRPr="00CC7C37">
        <w:rPr>
          <w:color w:val="000000"/>
        </w:rPr>
        <w:t>Oseroff</w:t>
      </w:r>
      <w:proofErr w:type="spellEnd"/>
      <w:r w:rsidRPr="00CC7C37">
        <w:rPr>
          <w:color w:val="000000"/>
        </w:rPr>
        <w:t xml:space="preserve">,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 xml:space="preserve">(1), 78–88. </w:t>
      </w:r>
      <w:hyperlink r:id="rId66" w:history="1">
        <w:r w:rsidR="00823F33" w:rsidRPr="00AF7090">
          <w:rPr>
            <w:rStyle w:val="Hyperlink"/>
          </w:rPr>
          <w:t>https://doi.org/10.1086/431652</w:t>
        </w:r>
      </w:hyperlink>
    </w:p>
    <w:p w14:paraId="3FCA3AB6" w14:textId="4C3B2F7C" w:rsidR="003C178D" w:rsidRDefault="003C178D" w:rsidP="00CC7C37">
      <w:pPr>
        <w:pStyle w:val="NormalWeb"/>
        <w:shd w:val="clear" w:color="auto" w:fill="FFFFFF"/>
        <w:spacing w:before="0" w:beforeAutospacing="0" w:after="0" w:afterAutospacing="0"/>
        <w:ind w:left="720" w:hanging="720"/>
        <w:rPr>
          <w:rStyle w:val="Hyperlink"/>
        </w:rPr>
      </w:pPr>
    </w:p>
    <w:p w14:paraId="102FDE20" w14:textId="77777777" w:rsidR="003C178D" w:rsidRPr="003C178D" w:rsidRDefault="003C178D" w:rsidP="003C178D">
      <w:pPr>
        <w:shd w:val="clear" w:color="auto" w:fill="FFFFFF"/>
        <w:spacing w:after="0" w:line="240" w:lineRule="auto"/>
        <w:ind w:left="720" w:hanging="720"/>
        <w:rPr>
          <w:rFonts w:ascii="Times New Roman" w:eastAsia="Times New Roman" w:hAnsi="Times New Roman" w:cs="Times New Roman"/>
          <w:color w:val="000000"/>
          <w:sz w:val="24"/>
          <w:szCs w:val="24"/>
        </w:rPr>
      </w:pPr>
      <w:r w:rsidRPr="003C178D">
        <w:rPr>
          <w:rFonts w:ascii="Times New Roman" w:eastAsia="Times New Roman" w:hAnsi="Times New Roman" w:cs="Times New Roman"/>
          <w:color w:val="000000"/>
          <w:sz w:val="24"/>
          <w:szCs w:val="24"/>
        </w:rPr>
        <w:t xml:space="preserve">Sims, D., </w:t>
      </w:r>
      <w:proofErr w:type="spellStart"/>
      <w:r w:rsidRPr="003C178D">
        <w:rPr>
          <w:rFonts w:ascii="Times New Roman" w:eastAsia="Times New Roman" w:hAnsi="Times New Roman" w:cs="Times New Roman"/>
          <w:color w:val="000000"/>
          <w:sz w:val="24"/>
          <w:szCs w:val="24"/>
        </w:rPr>
        <w:t>Sudbery</w:t>
      </w:r>
      <w:proofErr w:type="spellEnd"/>
      <w:r w:rsidRPr="003C178D">
        <w:rPr>
          <w:rFonts w:ascii="Times New Roman" w:eastAsia="Times New Roman" w:hAnsi="Times New Roman" w:cs="Times New Roman"/>
          <w:color w:val="000000"/>
          <w:sz w:val="24"/>
          <w:szCs w:val="24"/>
        </w:rPr>
        <w:t xml:space="preserve">, I., </w:t>
      </w:r>
      <w:proofErr w:type="spellStart"/>
      <w:r w:rsidRPr="003C178D">
        <w:rPr>
          <w:rFonts w:ascii="Times New Roman" w:eastAsia="Times New Roman" w:hAnsi="Times New Roman" w:cs="Times New Roman"/>
          <w:color w:val="000000"/>
          <w:sz w:val="24"/>
          <w:szCs w:val="24"/>
        </w:rPr>
        <w:t>Ilott</w:t>
      </w:r>
      <w:proofErr w:type="spellEnd"/>
      <w:r w:rsidRPr="003C178D">
        <w:rPr>
          <w:rFonts w:ascii="Times New Roman" w:eastAsia="Times New Roman" w:hAnsi="Times New Roman" w:cs="Times New Roman"/>
          <w:color w:val="000000"/>
          <w:sz w:val="24"/>
          <w:szCs w:val="24"/>
        </w:rPr>
        <w:t xml:space="preserve">, N. E., </w:t>
      </w:r>
      <w:proofErr w:type="spellStart"/>
      <w:r w:rsidRPr="003C178D">
        <w:rPr>
          <w:rFonts w:ascii="Times New Roman" w:eastAsia="Times New Roman" w:hAnsi="Times New Roman" w:cs="Times New Roman"/>
          <w:color w:val="000000"/>
          <w:sz w:val="24"/>
          <w:szCs w:val="24"/>
        </w:rPr>
        <w:t>Heger</w:t>
      </w:r>
      <w:proofErr w:type="spellEnd"/>
      <w:r w:rsidRPr="003C178D">
        <w:rPr>
          <w:rFonts w:ascii="Times New Roman" w:eastAsia="Times New Roman" w:hAnsi="Times New Roman" w:cs="Times New Roman"/>
          <w:color w:val="000000"/>
          <w:sz w:val="24"/>
          <w:szCs w:val="24"/>
        </w:rPr>
        <w:t xml:space="preserve">, A., &amp; Ponting, C. P. (2014). Sequencing depth and coverage: key considerations in genomic analyses. </w:t>
      </w:r>
      <w:r w:rsidRPr="003C178D">
        <w:rPr>
          <w:rFonts w:ascii="Times New Roman" w:eastAsia="Times New Roman" w:hAnsi="Times New Roman" w:cs="Times New Roman"/>
          <w:i/>
          <w:iCs/>
          <w:color w:val="000000"/>
          <w:sz w:val="24"/>
          <w:szCs w:val="24"/>
        </w:rPr>
        <w:t>Nature Reviews Genetics</w:t>
      </w:r>
      <w:r w:rsidRPr="003C178D">
        <w:rPr>
          <w:rFonts w:ascii="Times New Roman" w:eastAsia="Times New Roman" w:hAnsi="Times New Roman" w:cs="Times New Roman"/>
          <w:color w:val="000000"/>
          <w:sz w:val="24"/>
          <w:szCs w:val="24"/>
        </w:rPr>
        <w:t xml:space="preserve">, </w:t>
      </w:r>
      <w:r w:rsidRPr="003C178D">
        <w:rPr>
          <w:rFonts w:ascii="Times New Roman" w:eastAsia="Times New Roman" w:hAnsi="Times New Roman" w:cs="Times New Roman"/>
          <w:i/>
          <w:iCs/>
          <w:color w:val="000000"/>
          <w:sz w:val="24"/>
          <w:szCs w:val="24"/>
        </w:rPr>
        <w:t>15</w:t>
      </w:r>
      <w:r w:rsidRPr="003C178D">
        <w:rPr>
          <w:rFonts w:ascii="Times New Roman" w:eastAsia="Times New Roman" w:hAnsi="Times New Roman" w:cs="Times New Roman"/>
          <w:color w:val="000000"/>
          <w:sz w:val="24"/>
          <w:szCs w:val="24"/>
        </w:rPr>
        <w:t>(2), 121–132. https://doi.org/10.1038/nrg3642</w:t>
      </w:r>
    </w:p>
    <w:p w14:paraId="17692F4B" w14:textId="77777777" w:rsidR="003C178D" w:rsidRPr="003C178D" w:rsidRDefault="003C178D" w:rsidP="003C178D">
      <w:pPr>
        <w:shd w:val="clear" w:color="auto" w:fill="FFFFFF"/>
        <w:spacing w:after="0" w:line="240" w:lineRule="auto"/>
        <w:rPr>
          <w:rFonts w:ascii="Times New Roman" w:eastAsia="Times New Roman" w:hAnsi="Times New Roman" w:cs="Times New Roman"/>
          <w:color w:val="000000"/>
          <w:sz w:val="24"/>
          <w:szCs w:val="24"/>
        </w:rPr>
      </w:pPr>
      <w:r w:rsidRPr="003C178D">
        <w:rPr>
          <w:rFonts w:ascii="Times New Roman" w:eastAsia="Times New Roman" w:hAnsi="Times New Roman" w:cs="Times New Roman"/>
          <w:color w:val="000000"/>
          <w:sz w:val="24"/>
          <w:szCs w:val="24"/>
        </w:rPr>
        <w:t>‌</w:t>
      </w:r>
    </w:p>
    <w:p w14:paraId="0694EE6E" w14:textId="4B77AB69" w:rsidR="0056424D" w:rsidRDefault="0056424D" w:rsidP="0056424D">
      <w:pPr>
        <w:shd w:val="clear" w:color="auto" w:fill="FFFFFF"/>
        <w:spacing w:after="0" w:line="240" w:lineRule="auto"/>
        <w:ind w:left="720" w:hanging="720"/>
        <w:rPr>
          <w:rFonts w:ascii="Times New Roman" w:eastAsia="Times New Roman" w:hAnsi="Times New Roman" w:cs="Times New Roman"/>
          <w:color w:val="000000"/>
          <w:sz w:val="24"/>
          <w:szCs w:val="24"/>
        </w:rPr>
      </w:pPr>
      <w:r w:rsidRPr="0056424D">
        <w:rPr>
          <w:rFonts w:ascii="Times New Roman" w:eastAsia="Times New Roman" w:hAnsi="Times New Roman" w:cs="Times New Roman"/>
          <w:color w:val="000000"/>
          <w:sz w:val="24"/>
          <w:szCs w:val="24"/>
        </w:rPr>
        <w:t xml:space="preserve">Singer, J. D., &amp; Willett, J. B. (2003). </w:t>
      </w:r>
      <w:r w:rsidRPr="0056424D">
        <w:rPr>
          <w:rFonts w:ascii="Times New Roman" w:eastAsia="Times New Roman" w:hAnsi="Times New Roman" w:cs="Times New Roman"/>
          <w:i/>
          <w:iCs/>
          <w:color w:val="000000"/>
          <w:sz w:val="24"/>
          <w:szCs w:val="24"/>
        </w:rPr>
        <w:t xml:space="preserve">Applied longitudinal data </w:t>
      </w:r>
      <w:proofErr w:type="gramStart"/>
      <w:r w:rsidRPr="0056424D">
        <w:rPr>
          <w:rFonts w:ascii="Times New Roman" w:eastAsia="Times New Roman" w:hAnsi="Times New Roman" w:cs="Times New Roman"/>
          <w:i/>
          <w:iCs/>
          <w:color w:val="000000"/>
          <w:sz w:val="24"/>
          <w:szCs w:val="24"/>
        </w:rPr>
        <w:t>analysis :</w:t>
      </w:r>
      <w:proofErr w:type="gramEnd"/>
      <w:r w:rsidRPr="0056424D">
        <w:rPr>
          <w:rFonts w:ascii="Times New Roman" w:eastAsia="Times New Roman" w:hAnsi="Times New Roman" w:cs="Times New Roman"/>
          <w:i/>
          <w:iCs/>
          <w:color w:val="000000"/>
          <w:sz w:val="24"/>
          <w:szCs w:val="24"/>
        </w:rPr>
        <w:t xml:space="preserve"> modeling change and event occurrence</w:t>
      </w:r>
      <w:r w:rsidRPr="0056424D">
        <w:rPr>
          <w:rFonts w:ascii="Times New Roman" w:eastAsia="Times New Roman" w:hAnsi="Times New Roman" w:cs="Times New Roman"/>
          <w:color w:val="000000"/>
          <w:sz w:val="24"/>
          <w:szCs w:val="24"/>
        </w:rPr>
        <w:t xml:space="preserve"> (p. 525). Oxford University Press.</w:t>
      </w:r>
    </w:p>
    <w:p w14:paraId="48F7A9E5" w14:textId="603D8C5B" w:rsidR="0055300A" w:rsidRDefault="0055300A" w:rsidP="0056424D">
      <w:pPr>
        <w:shd w:val="clear" w:color="auto" w:fill="FFFFFF"/>
        <w:spacing w:after="0" w:line="240" w:lineRule="auto"/>
        <w:ind w:left="720" w:hanging="720"/>
        <w:rPr>
          <w:rFonts w:ascii="Times New Roman" w:eastAsia="Times New Roman" w:hAnsi="Times New Roman" w:cs="Times New Roman"/>
          <w:color w:val="000000"/>
          <w:sz w:val="24"/>
          <w:szCs w:val="24"/>
        </w:rPr>
      </w:pPr>
    </w:p>
    <w:p w14:paraId="6778D4C9" w14:textId="77777777" w:rsidR="0055300A" w:rsidRPr="0055300A" w:rsidRDefault="0055300A" w:rsidP="0055300A">
      <w:pPr>
        <w:shd w:val="clear" w:color="auto" w:fill="FFFFFF"/>
        <w:spacing w:after="0" w:line="240" w:lineRule="auto"/>
        <w:ind w:left="720" w:hanging="720"/>
        <w:rPr>
          <w:rFonts w:ascii="Times New Roman" w:eastAsia="Times New Roman" w:hAnsi="Times New Roman" w:cs="Times New Roman"/>
          <w:color w:val="000000"/>
          <w:sz w:val="24"/>
          <w:szCs w:val="24"/>
        </w:rPr>
      </w:pPr>
      <w:r w:rsidRPr="0055300A">
        <w:rPr>
          <w:rFonts w:ascii="Times New Roman" w:eastAsia="Times New Roman" w:hAnsi="Times New Roman" w:cs="Times New Roman"/>
          <w:color w:val="000000"/>
          <w:sz w:val="24"/>
          <w:szCs w:val="24"/>
        </w:rPr>
        <w:lastRenderedPageBreak/>
        <w:t xml:space="preserve">Solomon, D. A., Kim, J.-S., </w:t>
      </w:r>
      <w:proofErr w:type="spellStart"/>
      <w:r w:rsidRPr="0055300A">
        <w:rPr>
          <w:rFonts w:ascii="Times New Roman" w:eastAsia="Times New Roman" w:hAnsi="Times New Roman" w:cs="Times New Roman"/>
          <w:color w:val="000000"/>
          <w:sz w:val="24"/>
          <w:szCs w:val="24"/>
        </w:rPr>
        <w:t>Ressom</w:t>
      </w:r>
      <w:proofErr w:type="spellEnd"/>
      <w:r w:rsidRPr="0055300A">
        <w:rPr>
          <w:rFonts w:ascii="Times New Roman" w:eastAsia="Times New Roman" w:hAnsi="Times New Roman" w:cs="Times New Roman"/>
          <w:color w:val="000000"/>
          <w:sz w:val="24"/>
          <w:szCs w:val="24"/>
        </w:rPr>
        <w:t xml:space="preserve">, H. W., </w:t>
      </w:r>
      <w:proofErr w:type="spellStart"/>
      <w:r w:rsidRPr="0055300A">
        <w:rPr>
          <w:rFonts w:ascii="Times New Roman" w:eastAsia="Times New Roman" w:hAnsi="Times New Roman" w:cs="Times New Roman"/>
          <w:color w:val="000000"/>
          <w:sz w:val="24"/>
          <w:szCs w:val="24"/>
        </w:rPr>
        <w:t>Sibenaller</w:t>
      </w:r>
      <w:proofErr w:type="spellEnd"/>
      <w:r w:rsidRPr="0055300A">
        <w:rPr>
          <w:rFonts w:ascii="Times New Roman" w:eastAsia="Times New Roman" w:hAnsi="Times New Roman" w:cs="Times New Roman"/>
          <w:color w:val="000000"/>
          <w:sz w:val="24"/>
          <w:szCs w:val="24"/>
        </w:rPr>
        <w:t xml:space="preserve">, Z., Ryken, T., Jean, W., </w:t>
      </w:r>
      <w:proofErr w:type="spellStart"/>
      <w:r w:rsidRPr="0055300A">
        <w:rPr>
          <w:rFonts w:ascii="Times New Roman" w:eastAsia="Times New Roman" w:hAnsi="Times New Roman" w:cs="Times New Roman"/>
          <w:color w:val="000000"/>
          <w:sz w:val="24"/>
          <w:szCs w:val="24"/>
        </w:rPr>
        <w:t>Bigner</w:t>
      </w:r>
      <w:proofErr w:type="spellEnd"/>
      <w:r w:rsidRPr="0055300A">
        <w:rPr>
          <w:rFonts w:ascii="Times New Roman" w:eastAsia="Times New Roman" w:hAnsi="Times New Roman" w:cs="Times New Roman"/>
          <w:color w:val="000000"/>
          <w:sz w:val="24"/>
          <w:szCs w:val="24"/>
        </w:rPr>
        <w:t xml:space="preserve">, D., Yan, H., &amp; Waldman, T. (2009). Sample Type Bias in the Analysis of Cancer Genomes. </w:t>
      </w:r>
      <w:r w:rsidRPr="0055300A">
        <w:rPr>
          <w:rFonts w:ascii="Times New Roman" w:eastAsia="Times New Roman" w:hAnsi="Times New Roman" w:cs="Times New Roman"/>
          <w:i/>
          <w:iCs/>
          <w:color w:val="000000"/>
          <w:sz w:val="24"/>
          <w:szCs w:val="24"/>
        </w:rPr>
        <w:t>Cancer Research</w:t>
      </w:r>
      <w:r w:rsidRPr="0055300A">
        <w:rPr>
          <w:rFonts w:ascii="Times New Roman" w:eastAsia="Times New Roman" w:hAnsi="Times New Roman" w:cs="Times New Roman"/>
          <w:color w:val="000000"/>
          <w:sz w:val="24"/>
          <w:szCs w:val="24"/>
        </w:rPr>
        <w:t xml:space="preserve">, </w:t>
      </w:r>
      <w:r w:rsidRPr="0055300A">
        <w:rPr>
          <w:rFonts w:ascii="Times New Roman" w:eastAsia="Times New Roman" w:hAnsi="Times New Roman" w:cs="Times New Roman"/>
          <w:i/>
          <w:iCs/>
          <w:color w:val="000000"/>
          <w:sz w:val="24"/>
          <w:szCs w:val="24"/>
        </w:rPr>
        <w:t>69</w:t>
      </w:r>
      <w:r w:rsidRPr="0055300A">
        <w:rPr>
          <w:rFonts w:ascii="Times New Roman" w:eastAsia="Times New Roman" w:hAnsi="Times New Roman" w:cs="Times New Roman"/>
          <w:color w:val="000000"/>
          <w:sz w:val="24"/>
          <w:szCs w:val="24"/>
        </w:rPr>
        <w:t>(14), 5630–5633. https://doi.org/10.1158/0008-5472.can-09-1055</w:t>
      </w:r>
    </w:p>
    <w:p w14:paraId="11C1C6CD" w14:textId="700C51E6" w:rsidR="007563BD" w:rsidRDefault="0055300A" w:rsidP="0056424D">
      <w:pPr>
        <w:shd w:val="clear" w:color="auto" w:fill="FFFFFF"/>
        <w:spacing w:after="0" w:line="240" w:lineRule="auto"/>
        <w:rPr>
          <w:rStyle w:val="Hyperlink"/>
        </w:rPr>
      </w:pPr>
      <w:r w:rsidRPr="0055300A">
        <w:rPr>
          <w:rFonts w:ascii="Times New Roman" w:eastAsia="Times New Roman" w:hAnsi="Times New Roman" w:cs="Times New Roman"/>
          <w:color w:val="000000"/>
          <w:sz w:val="24"/>
          <w:szCs w:val="24"/>
        </w:rPr>
        <w:t>‌</w:t>
      </w:r>
      <w:r w:rsidR="0056424D" w:rsidRPr="0056424D">
        <w:rPr>
          <w:rFonts w:ascii="Times New Roman" w:eastAsia="Times New Roman" w:hAnsi="Times New Roman" w:cs="Times New Roman"/>
          <w:color w:val="000000"/>
          <w:sz w:val="24"/>
          <w:szCs w:val="24"/>
        </w:rPr>
        <w:t>‌</w:t>
      </w:r>
    </w:p>
    <w:p w14:paraId="4E82EDD5" w14:textId="77777777" w:rsidR="007563BD" w:rsidRPr="007563BD" w:rsidRDefault="007563BD" w:rsidP="007563BD">
      <w:pPr>
        <w:shd w:val="clear" w:color="auto" w:fill="FFFFFF"/>
        <w:spacing w:after="0" w:line="240" w:lineRule="auto"/>
        <w:ind w:left="720" w:hanging="720"/>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 xml:space="preserve">Spainhour, J. C. G., Lim, J., &amp; </w:t>
      </w:r>
      <w:proofErr w:type="spellStart"/>
      <w:r w:rsidRPr="007563BD">
        <w:rPr>
          <w:rFonts w:ascii="Times New Roman" w:eastAsia="Times New Roman" w:hAnsi="Times New Roman" w:cs="Times New Roman"/>
          <w:color w:val="000000"/>
          <w:sz w:val="24"/>
          <w:szCs w:val="24"/>
        </w:rPr>
        <w:t>Qiu</w:t>
      </w:r>
      <w:proofErr w:type="spellEnd"/>
      <w:r w:rsidRPr="007563BD">
        <w:rPr>
          <w:rFonts w:ascii="Times New Roman" w:eastAsia="Times New Roman" w:hAnsi="Times New Roman" w:cs="Times New Roman"/>
          <w:color w:val="000000"/>
          <w:sz w:val="24"/>
          <w:szCs w:val="24"/>
        </w:rPr>
        <w:t xml:space="preserve">, P. (2017). GDISC: a web portal for integrative analysis of gene–drug interaction for survival in cancer. </w:t>
      </w:r>
      <w:r w:rsidRPr="007563BD">
        <w:rPr>
          <w:rFonts w:ascii="Times New Roman" w:eastAsia="Times New Roman" w:hAnsi="Times New Roman" w:cs="Times New Roman"/>
          <w:i/>
          <w:iCs/>
          <w:color w:val="000000"/>
          <w:sz w:val="24"/>
          <w:szCs w:val="24"/>
        </w:rPr>
        <w:t>Bioinformatics</w:t>
      </w:r>
      <w:r w:rsidRPr="007563BD">
        <w:rPr>
          <w:rFonts w:ascii="Times New Roman" w:eastAsia="Times New Roman" w:hAnsi="Times New Roman" w:cs="Times New Roman"/>
          <w:color w:val="000000"/>
          <w:sz w:val="24"/>
          <w:szCs w:val="24"/>
        </w:rPr>
        <w:t xml:space="preserve">, </w:t>
      </w:r>
      <w:r w:rsidRPr="007563BD">
        <w:rPr>
          <w:rFonts w:ascii="Times New Roman" w:eastAsia="Times New Roman" w:hAnsi="Times New Roman" w:cs="Times New Roman"/>
          <w:i/>
          <w:iCs/>
          <w:color w:val="000000"/>
          <w:sz w:val="24"/>
          <w:szCs w:val="24"/>
        </w:rPr>
        <w:t>33</w:t>
      </w:r>
      <w:r w:rsidRPr="007563BD">
        <w:rPr>
          <w:rFonts w:ascii="Times New Roman" w:eastAsia="Times New Roman" w:hAnsi="Times New Roman" w:cs="Times New Roman"/>
          <w:color w:val="000000"/>
          <w:sz w:val="24"/>
          <w:szCs w:val="24"/>
        </w:rPr>
        <w:t>(9), btw830. https://doi.org/10.1093/bioinformatics/btw830</w:t>
      </w:r>
    </w:p>
    <w:p w14:paraId="0FEAD7B4" w14:textId="77777777" w:rsidR="007563BD" w:rsidRPr="007563BD" w:rsidRDefault="007563BD" w:rsidP="007563BD">
      <w:pPr>
        <w:shd w:val="clear" w:color="auto" w:fill="FFFFFF"/>
        <w:spacing w:after="0" w:line="240" w:lineRule="auto"/>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w:t>
      </w:r>
    </w:p>
    <w:p w14:paraId="01799422" w14:textId="13D13265" w:rsidR="00646509" w:rsidRDefault="00CC7C37" w:rsidP="00CC7C37">
      <w:pPr>
        <w:shd w:val="clear" w:color="auto" w:fill="FFFFFF"/>
        <w:spacing w:after="0" w:line="240" w:lineRule="auto"/>
        <w:rPr>
          <w:rStyle w:val="Hyperlink"/>
          <w:rFonts w:ascii="Times New Roman" w:hAnsi="Times New Roman" w:cs="Times New Roman"/>
          <w:sz w:val="24"/>
          <w:szCs w:val="24"/>
        </w:rPr>
      </w:pPr>
      <w:r w:rsidRPr="00CC7C37">
        <w:rPr>
          <w:rFonts w:ascii="Times New Roman" w:eastAsia="Times New Roman" w:hAnsi="Times New Roman" w:cs="Times New Roman"/>
          <w:color w:val="000000"/>
          <w:sz w:val="24"/>
          <w:szCs w:val="24"/>
        </w:rPr>
        <w:t>‌</w:t>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67"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5B86FBF8" w14:textId="77777777" w:rsidR="00E766F5" w:rsidRPr="00CC7C37" w:rsidRDefault="00E766F5"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p>
    <w:p w14:paraId="4F64E4B1" w14:textId="16350EDD" w:rsid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51CE5">
        <w:rPr>
          <w:rFonts w:ascii="Times New Roman" w:eastAsia="Times New Roman" w:hAnsi="Times New Roman" w:cs="Times New Roman"/>
          <w:color w:val="000000"/>
          <w:sz w:val="24"/>
          <w:szCs w:val="24"/>
        </w:rPr>
        <w:t>Sutradhar</w:t>
      </w:r>
      <w:proofErr w:type="spellEnd"/>
      <w:r w:rsidRPr="00351CE5">
        <w:rPr>
          <w:rFonts w:ascii="Times New Roman" w:eastAsia="Times New Roman" w:hAnsi="Times New Roman" w:cs="Times New Roman"/>
          <w:color w:val="000000"/>
          <w:sz w:val="24"/>
          <w:szCs w:val="24"/>
        </w:rPr>
        <w:t xml:space="preserve">,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 xml:space="preserve">(1), 54–57. </w:t>
      </w:r>
      <w:hyperlink r:id="rId68" w:history="1">
        <w:r w:rsidR="000432D9" w:rsidRPr="00C86249">
          <w:rPr>
            <w:rStyle w:val="Hyperlink"/>
            <w:rFonts w:ascii="Times New Roman" w:eastAsia="Times New Roman" w:hAnsi="Times New Roman" w:cs="Times New Roman"/>
            <w:sz w:val="24"/>
            <w:szCs w:val="24"/>
          </w:rPr>
          <w:t>https://doi.org/10.1016/j.annepidem.2017.10.014</w:t>
        </w:r>
      </w:hyperlink>
    </w:p>
    <w:p w14:paraId="63DD4A9C" w14:textId="709DBF2C" w:rsidR="000432D9" w:rsidRDefault="000432D9" w:rsidP="00351CE5">
      <w:pPr>
        <w:shd w:val="clear" w:color="auto" w:fill="FFFFFF"/>
        <w:spacing w:after="0" w:line="240" w:lineRule="auto"/>
        <w:ind w:left="720" w:hanging="720"/>
        <w:rPr>
          <w:rFonts w:ascii="Times New Roman" w:eastAsia="Times New Roman" w:hAnsi="Times New Roman" w:cs="Times New Roman"/>
          <w:color w:val="000000"/>
          <w:sz w:val="24"/>
          <w:szCs w:val="24"/>
        </w:rPr>
      </w:pPr>
    </w:p>
    <w:p w14:paraId="34AB2756" w14:textId="77777777" w:rsidR="000432D9" w:rsidRPr="000432D9" w:rsidRDefault="000432D9" w:rsidP="000432D9">
      <w:pPr>
        <w:shd w:val="clear" w:color="auto" w:fill="FFFFFF"/>
        <w:spacing w:after="0" w:line="240" w:lineRule="auto"/>
        <w:ind w:left="720" w:hanging="720"/>
        <w:rPr>
          <w:rFonts w:ascii="Times New Roman" w:eastAsia="Times New Roman" w:hAnsi="Times New Roman" w:cs="Times New Roman"/>
          <w:color w:val="000000"/>
          <w:sz w:val="24"/>
          <w:szCs w:val="24"/>
        </w:rPr>
      </w:pPr>
      <w:r w:rsidRPr="000432D9">
        <w:rPr>
          <w:rFonts w:ascii="Times New Roman" w:eastAsia="Times New Roman" w:hAnsi="Times New Roman" w:cs="Times New Roman"/>
          <w:color w:val="000000"/>
          <w:sz w:val="24"/>
          <w:szCs w:val="24"/>
        </w:rPr>
        <w:t xml:space="preserve">Tai, D. J. C., </w:t>
      </w:r>
      <w:proofErr w:type="spellStart"/>
      <w:r w:rsidRPr="000432D9">
        <w:rPr>
          <w:rFonts w:ascii="Times New Roman" w:eastAsia="Times New Roman" w:hAnsi="Times New Roman" w:cs="Times New Roman"/>
          <w:color w:val="000000"/>
          <w:sz w:val="24"/>
          <w:szCs w:val="24"/>
        </w:rPr>
        <w:t>Ragavendran</w:t>
      </w:r>
      <w:proofErr w:type="spellEnd"/>
      <w:r w:rsidRPr="000432D9">
        <w:rPr>
          <w:rFonts w:ascii="Times New Roman" w:eastAsia="Times New Roman" w:hAnsi="Times New Roman" w:cs="Times New Roman"/>
          <w:color w:val="000000"/>
          <w:sz w:val="24"/>
          <w:szCs w:val="24"/>
        </w:rPr>
        <w:t xml:space="preserve">, A., </w:t>
      </w:r>
      <w:proofErr w:type="spellStart"/>
      <w:r w:rsidRPr="000432D9">
        <w:rPr>
          <w:rFonts w:ascii="Times New Roman" w:eastAsia="Times New Roman" w:hAnsi="Times New Roman" w:cs="Times New Roman"/>
          <w:color w:val="000000"/>
          <w:sz w:val="24"/>
          <w:szCs w:val="24"/>
        </w:rPr>
        <w:t>Manavalan</w:t>
      </w:r>
      <w:proofErr w:type="spellEnd"/>
      <w:r w:rsidRPr="000432D9">
        <w:rPr>
          <w:rFonts w:ascii="Times New Roman" w:eastAsia="Times New Roman" w:hAnsi="Times New Roman" w:cs="Times New Roman"/>
          <w:color w:val="000000"/>
          <w:sz w:val="24"/>
          <w:szCs w:val="24"/>
        </w:rPr>
        <w:t xml:space="preserve">, P., </w:t>
      </w:r>
      <w:proofErr w:type="spellStart"/>
      <w:r w:rsidRPr="000432D9">
        <w:rPr>
          <w:rFonts w:ascii="Times New Roman" w:eastAsia="Times New Roman" w:hAnsi="Times New Roman" w:cs="Times New Roman"/>
          <w:color w:val="000000"/>
          <w:sz w:val="24"/>
          <w:szCs w:val="24"/>
        </w:rPr>
        <w:t>Stortchevoi</w:t>
      </w:r>
      <w:proofErr w:type="spellEnd"/>
      <w:r w:rsidRPr="000432D9">
        <w:rPr>
          <w:rFonts w:ascii="Times New Roman" w:eastAsia="Times New Roman" w:hAnsi="Times New Roman" w:cs="Times New Roman"/>
          <w:color w:val="000000"/>
          <w:sz w:val="24"/>
          <w:szCs w:val="24"/>
        </w:rPr>
        <w:t xml:space="preserve">, A., </w:t>
      </w:r>
      <w:proofErr w:type="spellStart"/>
      <w:r w:rsidRPr="000432D9">
        <w:rPr>
          <w:rFonts w:ascii="Times New Roman" w:eastAsia="Times New Roman" w:hAnsi="Times New Roman" w:cs="Times New Roman"/>
          <w:color w:val="000000"/>
          <w:sz w:val="24"/>
          <w:szCs w:val="24"/>
        </w:rPr>
        <w:t>Seabra</w:t>
      </w:r>
      <w:proofErr w:type="spellEnd"/>
      <w:r w:rsidRPr="000432D9">
        <w:rPr>
          <w:rFonts w:ascii="Times New Roman" w:eastAsia="Times New Roman" w:hAnsi="Times New Roman" w:cs="Times New Roman"/>
          <w:color w:val="000000"/>
          <w:sz w:val="24"/>
          <w:szCs w:val="24"/>
        </w:rPr>
        <w:t xml:space="preserve">, C. M., </w:t>
      </w:r>
      <w:proofErr w:type="spellStart"/>
      <w:r w:rsidRPr="000432D9">
        <w:rPr>
          <w:rFonts w:ascii="Times New Roman" w:eastAsia="Times New Roman" w:hAnsi="Times New Roman" w:cs="Times New Roman"/>
          <w:color w:val="000000"/>
          <w:sz w:val="24"/>
          <w:szCs w:val="24"/>
        </w:rPr>
        <w:t>Erdin</w:t>
      </w:r>
      <w:proofErr w:type="spellEnd"/>
      <w:r w:rsidRPr="000432D9">
        <w:rPr>
          <w:rFonts w:ascii="Times New Roman" w:eastAsia="Times New Roman" w:hAnsi="Times New Roman" w:cs="Times New Roman"/>
          <w:color w:val="000000"/>
          <w:sz w:val="24"/>
          <w:szCs w:val="24"/>
        </w:rPr>
        <w:t xml:space="preserve">, S., Collins, R. L., Blumenthal, I., Chen, X., Shen, Y., </w:t>
      </w:r>
      <w:proofErr w:type="spellStart"/>
      <w:r w:rsidRPr="000432D9">
        <w:rPr>
          <w:rFonts w:ascii="Times New Roman" w:eastAsia="Times New Roman" w:hAnsi="Times New Roman" w:cs="Times New Roman"/>
          <w:color w:val="000000"/>
          <w:sz w:val="24"/>
          <w:szCs w:val="24"/>
        </w:rPr>
        <w:t>Sahin</w:t>
      </w:r>
      <w:proofErr w:type="spellEnd"/>
      <w:r w:rsidRPr="000432D9">
        <w:rPr>
          <w:rFonts w:ascii="Times New Roman" w:eastAsia="Times New Roman" w:hAnsi="Times New Roman" w:cs="Times New Roman"/>
          <w:color w:val="000000"/>
          <w:sz w:val="24"/>
          <w:szCs w:val="24"/>
        </w:rPr>
        <w:t xml:space="preserve">, M., Zhang, C., Lee, C., </w:t>
      </w:r>
      <w:proofErr w:type="spellStart"/>
      <w:r w:rsidRPr="000432D9">
        <w:rPr>
          <w:rFonts w:ascii="Times New Roman" w:eastAsia="Times New Roman" w:hAnsi="Times New Roman" w:cs="Times New Roman"/>
          <w:color w:val="000000"/>
          <w:sz w:val="24"/>
          <w:szCs w:val="24"/>
        </w:rPr>
        <w:t>Gusella</w:t>
      </w:r>
      <w:proofErr w:type="spellEnd"/>
      <w:r w:rsidRPr="000432D9">
        <w:rPr>
          <w:rFonts w:ascii="Times New Roman" w:eastAsia="Times New Roman" w:hAnsi="Times New Roman" w:cs="Times New Roman"/>
          <w:color w:val="000000"/>
          <w:sz w:val="24"/>
          <w:szCs w:val="24"/>
        </w:rPr>
        <w:t xml:space="preserve">, J. F., &amp; </w:t>
      </w:r>
      <w:proofErr w:type="spellStart"/>
      <w:r w:rsidRPr="000432D9">
        <w:rPr>
          <w:rFonts w:ascii="Times New Roman" w:eastAsia="Times New Roman" w:hAnsi="Times New Roman" w:cs="Times New Roman"/>
          <w:color w:val="000000"/>
          <w:sz w:val="24"/>
          <w:szCs w:val="24"/>
        </w:rPr>
        <w:t>Talkowski</w:t>
      </w:r>
      <w:proofErr w:type="spellEnd"/>
      <w:r w:rsidRPr="000432D9">
        <w:rPr>
          <w:rFonts w:ascii="Times New Roman" w:eastAsia="Times New Roman" w:hAnsi="Times New Roman" w:cs="Times New Roman"/>
          <w:color w:val="000000"/>
          <w:sz w:val="24"/>
          <w:szCs w:val="24"/>
        </w:rPr>
        <w:t xml:space="preserve">, M. E. (2016). Engineering microdeletions and microduplications by targeting segmental duplications with CRISPR. </w:t>
      </w:r>
      <w:r w:rsidRPr="000432D9">
        <w:rPr>
          <w:rFonts w:ascii="Times New Roman" w:eastAsia="Times New Roman" w:hAnsi="Times New Roman" w:cs="Times New Roman"/>
          <w:i/>
          <w:iCs/>
          <w:color w:val="000000"/>
          <w:sz w:val="24"/>
          <w:szCs w:val="24"/>
        </w:rPr>
        <w:t>Nature Neuroscience</w:t>
      </w:r>
      <w:r w:rsidRPr="000432D9">
        <w:rPr>
          <w:rFonts w:ascii="Times New Roman" w:eastAsia="Times New Roman" w:hAnsi="Times New Roman" w:cs="Times New Roman"/>
          <w:color w:val="000000"/>
          <w:sz w:val="24"/>
          <w:szCs w:val="24"/>
        </w:rPr>
        <w:t xml:space="preserve">, </w:t>
      </w:r>
      <w:r w:rsidRPr="000432D9">
        <w:rPr>
          <w:rFonts w:ascii="Times New Roman" w:eastAsia="Times New Roman" w:hAnsi="Times New Roman" w:cs="Times New Roman"/>
          <w:i/>
          <w:iCs/>
          <w:color w:val="000000"/>
          <w:sz w:val="24"/>
          <w:szCs w:val="24"/>
        </w:rPr>
        <w:t>19</w:t>
      </w:r>
      <w:r w:rsidRPr="000432D9">
        <w:rPr>
          <w:rFonts w:ascii="Times New Roman" w:eastAsia="Times New Roman" w:hAnsi="Times New Roman" w:cs="Times New Roman"/>
          <w:color w:val="000000"/>
          <w:sz w:val="24"/>
          <w:szCs w:val="24"/>
        </w:rPr>
        <w:t>(3), 517–522. https://doi.org/10.1038/nn.4235</w:t>
      </w:r>
    </w:p>
    <w:p w14:paraId="504F22C3" w14:textId="77777777" w:rsidR="000432D9" w:rsidRDefault="000432D9" w:rsidP="000432D9">
      <w:pPr>
        <w:shd w:val="clear" w:color="auto" w:fill="FFFFFF"/>
        <w:spacing w:after="0" w:line="240" w:lineRule="auto"/>
        <w:rPr>
          <w:rFonts w:ascii="Times New Roman" w:eastAsia="Times New Roman" w:hAnsi="Times New Roman" w:cs="Times New Roman"/>
          <w:color w:val="000000"/>
          <w:sz w:val="24"/>
          <w:szCs w:val="24"/>
        </w:rPr>
      </w:pPr>
      <w:r w:rsidRPr="000432D9">
        <w:rPr>
          <w:rFonts w:ascii="Times New Roman" w:eastAsia="Times New Roman" w:hAnsi="Times New Roman" w:cs="Times New Roman"/>
          <w:color w:val="000000"/>
          <w:sz w:val="24"/>
          <w:szCs w:val="24"/>
        </w:rPr>
        <w:t>‌</w:t>
      </w:r>
    </w:p>
    <w:p w14:paraId="30349526" w14:textId="4027C220" w:rsidR="00646509" w:rsidRPr="000432D9" w:rsidRDefault="00284592" w:rsidP="000432D9">
      <w:pPr>
        <w:shd w:val="clear" w:color="auto" w:fill="FFFFFF"/>
        <w:spacing w:after="0" w:line="240" w:lineRule="auto"/>
        <w:rPr>
          <w:rStyle w:val="Hyperlink"/>
          <w:rFonts w:ascii="Times New Roman" w:eastAsia="Times New Roman" w:hAnsi="Times New Roman" w:cs="Times New Roman"/>
          <w:color w:val="000000"/>
          <w:sz w:val="24"/>
          <w:szCs w:val="24"/>
          <w:u w:val="none"/>
        </w:rPr>
      </w:pPr>
      <w:r w:rsidRPr="00284592">
        <w:rPr>
          <w:rFonts w:ascii="Times New Roman" w:eastAsia="Times New Roman" w:hAnsi="Times New Roman" w:cs="Times New Roman"/>
          <w:color w:val="000000"/>
          <w:sz w:val="24"/>
          <w:szCs w:val="24"/>
        </w:rPr>
        <w:t xml:space="preserve">TCGA - Ovarian Serous Adenocarcinoma Study. (2018, September 5). </w:t>
      </w:r>
      <w:hyperlink r:id="rId69" w:history="1">
        <w:r w:rsidRPr="00284592">
          <w:rPr>
            <w:rStyle w:val="Hyperlink"/>
            <w:rFonts w:ascii="Times New Roman" w:eastAsia="Times New Roman" w:hAnsi="Times New Roman" w:cs="Times New Roman"/>
            <w:sz w:val="24"/>
            <w:szCs w:val="24"/>
          </w:rPr>
          <w:t>Www.Cancer.Gov</w:t>
        </w:r>
      </w:hyperlink>
      <w:r w:rsidRPr="0028459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hyperlink r:id="rId70" w:history="1">
        <w:r w:rsidRPr="00284592">
          <w:rPr>
            <w:rStyle w:val="Hyperlink"/>
            <w:rFonts w:ascii="Times New Roman" w:eastAsia="Times New Roman" w:hAnsi="Times New Roman" w:cs="Times New Roman"/>
            <w:sz w:val="24"/>
            <w:szCs w:val="24"/>
          </w:rPr>
          <w:t>https://www.cancer.gov/about-nci/organization/ccg/research/structural</w:t>
        </w:r>
      </w:hyperlink>
      <w:r>
        <w:rPr>
          <w:rFonts w:ascii="Times New Roman" w:eastAsia="Times New Roman" w:hAnsi="Times New Roman" w:cs="Times New Roman"/>
          <w:color w:val="000000"/>
          <w:sz w:val="24"/>
          <w:szCs w:val="24"/>
        </w:rPr>
        <w:tab/>
      </w:r>
      <w:r w:rsidRPr="00284592">
        <w:rPr>
          <w:rFonts w:ascii="Times New Roman" w:eastAsia="Times New Roman" w:hAnsi="Times New Roman" w:cs="Times New Roman"/>
          <w:color w:val="000000"/>
          <w:sz w:val="24"/>
          <w:szCs w:val="24"/>
        </w:rPr>
        <w:t>genomics/</w:t>
      </w:r>
      <w:proofErr w:type="spellStart"/>
      <w:r w:rsidRPr="00284592">
        <w:rPr>
          <w:rFonts w:ascii="Times New Roman" w:eastAsia="Times New Roman" w:hAnsi="Times New Roman" w:cs="Times New Roman"/>
          <w:color w:val="000000"/>
          <w:sz w:val="24"/>
          <w:szCs w:val="24"/>
        </w:rPr>
        <w:t>tcga</w:t>
      </w:r>
      <w:proofErr w:type="spellEnd"/>
      <w:r w:rsidRPr="00284592">
        <w:rPr>
          <w:rFonts w:ascii="Times New Roman" w:eastAsia="Times New Roman" w:hAnsi="Times New Roman" w:cs="Times New Roman"/>
          <w:color w:val="000000"/>
          <w:sz w:val="24"/>
          <w:szCs w:val="24"/>
        </w:rPr>
        <w:t>/studied-cancers/ovarian</w:t>
      </w:r>
      <w:r w:rsidR="005D5DC8">
        <w:rPr>
          <w:rFonts w:ascii="Times New Roman" w:eastAsia="Times New Roman" w:hAnsi="Times New Roman" w:cs="Times New Roman"/>
          <w:color w:val="000000"/>
          <w:sz w:val="24"/>
          <w:szCs w:val="24"/>
        </w:rPr>
        <w:br/>
      </w:r>
      <w:r w:rsidR="005D5DC8">
        <w:rPr>
          <w:rFonts w:ascii="Times New Roman" w:hAnsi="Times New Roman" w:cs="Times New Roman"/>
          <w:sz w:val="24"/>
          <w:szCs w:val="24"/>
        </w:rPr>
        <w:br/>
      </w:r>
      <w:r w:rsidR="00646509" w:rsidRPr="00E766F5">
        <w:rPr>
          <w:rFonts w:ascii="Times New Roman" w:hAnsi="Times New Roman" w:cs="Times New Roman"/>
          <w:sz w:val="24"/>
          <w:szCs w:val="24"/>
        </w:rPr>
        <w:t xml:space="preserve">Teng, P.-N., Wang, G., Hood, B. L.,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K. A., Hamilton, C. A., Maxwell, G. L., Darcy, K.</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M., &amp;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T. P. (2013). Identification of candidate circulating cisplatin-resistant</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biomarkers from epithelial ovarian carcinoma cell </w:t>
      </w:r>
      <w:proofErr w:type="spellStart"/>
      <w:r w:rsidR="00646509" w:rsidRPr="00E766F5">
        <w:rPr>
          <w:rFonts w:ascii="Times New Roman" w:hAnsi="Times New Roman" w:cs="Times New Roman"/>
          <w:sz w:val="24"/>
          <w:szCs w:val="24"/>
        </w:rPr>
        <w:t>secretomes</w:t>
      </w:r>
      <w:proofErr w:type="spellEnd"/>
      <w:r w:rsidR="00646509" w:rsidRPr="00E766F5">
        <w:rPr>
          <w:rFonts w:ascii="Times New Roman" w:hAnsi="Times New Roman" w:cs="Times New Roman"/>
          <w:sz w:val="24"/>
          <w:szCs w:val="24"/>
        </w:rPr>
        <w:t xml:space="preserve">. </w:t>
      </w:r>
      <w:r w:rsidR="00646509" w:rsidRPr="00E766F5">
        <w:rPr>
          <w:rFonts w:ascii="Times New Roman" w:hAnsi="Times New Roman" w:cs="Times New Roman"/>
          <w:i/>
          <w:iCs/>
          <w:sz w:val="24"/>
          <w:szCs w:val="24"/>
        </w:rPr>
        <w:t>British Journal of Cancer</w:t>
      </w:r>
      <w:r w:rsidR="00646509" w:rsidRPr="00E766F5">
        <w:rPr>
          <w:rFonts w:ascii="Times New Roman" w:hAnsi="Times New Roman" w:cs="Times New Roman"/>
          <w:sz w:val="24"/>
          <w:szCs w:val="24"/>
        </w:rPr>
        <w:t>,</w:t>
      </w:r>
      <w:r w:rsidR="005D5DC8">
        <w:rPr>
          <w:rFonts w:ascii="Times New Roman" w:hAnsi="Times New Roman" w:cs="Times New Roman"/>
          <w:sz w:val="24"/>
          <w:szCs w:val="24"/>
        </w:rPr>
        <w:tab/>
      </w:r>
      <w:r w:rsidR="00646509" w:rsidRPr="00E766F5">
        <w:rPr>
          <w:rFonts w:ascii="Times New Roman" w:hAnsi="Times New Roman" w:cs="Times New Roman"/>
          <w:i/>
          <w:iCs/>
          <w:sz w:val="24"/>
          <w:szCs w:val="24"/>
        </w:rPr>
        <w:t>110</w:t>
      </w:r>
      <w:r w:rsidR="00646509" w:rsidRPr="00E766F5">
        <w:rPr>
          <w:rFonts w:ascii="Times New Roman" w:hAnsi="Times New Roman" w:cs="Times New Roman"/>
          <w:sz w:val="24"/>
          <w:szCs w:val="24"/>
        </w:rPr>
        <w:t xml:space="preserve">(1), 123–132. </w:t>
      </w:r>
      <w:hyperlink r:id="rId71" w:history="1">
        <w:r w:rsidR="00646509" w:rsidRPr="00E766F5">
          <w:rPr>
            <w:rStyle w:val="Hyperlink"/>
            <w:rFonts w:ascii="Times New Roman" w:hAnsi="Times New Roman" w:cs="Times New Roman"/>
            <w:sz w:val="24"/>
            <w:szCs w:val="24"/>
          </w:rPr>
          <w:t>https://doi.org/10.1038/bjc.2013.687</w:t>
        </w:r>
      </w:hyperlink>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72"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73"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74"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36208">
        <w:rPr>
          <w:rFonts w:ascii="Times New Roman" w:eastAsia="Times New Roman" w:hAnsi="Times New Roman" w:cs="Times New Roman"/>
          <w:color w:val="000000"/>
          <w:sz w:val="24"/>
          <w:szCs w:val="24"/>
        </w:rPr>
        <w:t>Tibshirani</w:t>
      </w:r>
      <w:proofErr w:type="spellEnd"/>
      <w:r w:rsidRPr="00B36208">
        <w:rPr>
          <w:rFonts w:ascii="Times New Roman" w:eastAsia="Times New Roman" w:hAnsi="Times New Roman" w:cs="Times New Roman"/>
          <w:color w:val="000000"/>
          <w:sz w:val="24"/>
          <w:szCs w:val="24"/>
        </w:rPr>
        <w:t xml:space="preserve">,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22FA252" w14:textId="6B6EDEF4" w:rsidR="001C7C65"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75"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p>
    <w:p w14:paraId="176C3892" w14:textId="2DC2EB51" w:rsidR="00CE15B6" w:rsidRDefault="00CE15B6" w:rsidP="005D6E04">
      <w:pPr>
        <w:shd w:val="clear" w:color="auto" w:fill="FFFFFF"/>
        <w:spacing w:after="0" w:line="240" w:lineRule="auto"/>
        <w:rPr>
          <w:rFonts w:ascii="Times New Roman" w:eastAsia="Times New Roman" w:hAnsi="Times New Roman" w:cs="Times New Roman"/>
          <w:color w:val="000000"/>
          <w:sz w:val="24"/>
          <w:szCs w:val="24"/>
        </w:rPr>
      </w:pPr>
    </w:p>
    <w:p w14:paraId="47A84BC9" w14:textId="77777777" w:rsidR="00CE15B6" w:rsidRPr="00CE15B6" w:rsidRDefault="00CE15B6" w:rsidP="00CE15B6">
      <w:pPr>
        <w:shd w:val="clear" w:color="auto" w:fill="FFFFFF"/>
        <w:spacing w:after="0" w:line="240" w:lineRule="auto"/>
        <w:ind w:left="720" w:hanging="720"/>
        <w:rPr>
          <w:rFonts w:ascii="Times New Roman" w:eastAsia="Times New Roman" w:hAnsi="Times New Roman" w:cs="Times New Roman"/>
          <w:color w:val="000000"/>
          <w:sz w:val="24"/>
          <w:szCs w:val="24"/>
        </w:rPr>
      </w:pPr>
      <w:r w:rsidRPr="00CE15B6">
        <w:rPr>
          <w:rFonts w:ascii="Times New Roman" w:eastAsia="Times New Roman" w:hAnsi="Times New Roman" w:cs="Times New Roman"/>
          <w:color w:val="000000"/>
          <w:sz w:val="24"/>
          <w:szCs w:val="24"/>
        </w:rPr>
        <w:t xml:space="preserve">Van Dijk, E., van den Bosch, T., Lenos, K. J., El </w:t>
      </w:r>
      <w:proofErr w:type="spellStart"/>
      <w:r w:rsidRPr="00CE15B6">
        <w:rPr>
          <w:rFonts w:ascii="Times New Roman" w:eastAsia="Times New Roman" w:hAnsi="Times New Roman" w:cs="Times New Roman"/>
          <w:color w:val="000000"/>
          <w:sz w:val="24"/>
          <w:szCs w:val="24"/>
        </w:rPr>
        <w:t>Makrini</w:t>
      </w:r>
      <w:proofErr w:type="spellEnd"/>
      <w:r w:rsidRPr="00CE15B6">
        <w:rPr>
          <w:rFonts w:ascii="Times New Roman" w:eastAsia="Times New Roman" w:hAnsi="Times New Roman" w:cs="Times New Roman"/>
          <w:color w:val="000000"/>
          <w:sz w:val="24"/>
          <w:szCs w:val="24"/>
        </w:rPr>
        <w:t xml:space="preserve">, K., Nijman, L. E., van Essen, H. F. B., </w:t>
      </w:r>
      <w:proofErr w:type="spellStart"/>
      <w:r w:rsidRPr="00CE15B6">
        <w:rPr>
          <w:rFonts w:ascii="Times New Roman" w:eastAsia="Times New Roman" w:hAnsi="Times New Roman" w:cs="Times New Roman"/>
          <w:color w:val="000000"/>
          <w:sz w:val="24"/>
          <w:szCs w:val="24"/>
        </w:rPr>
        <w:t>Lansu</w:t>
      </w:r>
      <w:proofErr w:type="spellEnd"/>
      <w:r w:rsidRPr="00CE15B6">
        <w:rPr>
          <w:rFonts w:ascii="Times New Roman" w:eastAsia="Times New Roman" w:hAnsi="Times New Roman" w:cs="Times New Roman"/>
          <w:color w:val="000000"/>
          <w:sz w:val="24"/>
          <w:szCs w:val="24"/>
        </w:rPr>
        <w:t xml:space="preserve">, N., </w:t>
      </w:r>
      <w:proofErr w:type="spellStart"/>
      <w:r w:rsidRPr="00CE15B6">
        <w:rPr>
          <w:rFonts w:ascii="Times New Roman" w:eastAsia="Times New Roman" w:hAnsi="Times New Roman" w:cs="Times New Roman"/>
          <w:color w:val="000000"/>
          <w:sz w:val="24"/>
          <w:szCs w:val="24"/>
        </w:rPr>
        <w:t>Boekhout</w:t>
      </w:r>
      <w:proofErr w:type="spellEnd"/>
      <w:r w:rsidRPr="00CE15B6">
        <w:rPr>
          <w:rFonts w:ascii="Times New Roman" w:eastAsia="Times New Roman" w:hAnsi="Times New Roman" w:cs="Times New Roman"/>
          <w:color w:val="000000"/>
          <w:sz w:val="24"/>
          <w:szCs w:val="24"/>
        </w:rPr>
        <w:t xml:space="preserve">, M., Hageman, J. H., Fitzgerald, R. C., Punt, C. J. A., </w:t>
      </w:r>
      <w:proofErr w:type="spellStart"/>
      <w:r w:rsidRPr="00CE15B6">
        <w:rPr>
          <w:rFonts w:ascii="Times New Roman" w:eastAsia="Times New Roman" w:hAnsi="Times New Roman" w:cs="Times New Roman"/>
          <w:color w:val="000000"/>
          <w:sz w:val="24"/>
          <w:szCs w:val="24"/>
        </w:rPr>
        <w:t>Tuynman</w:t>
      </w:r>
      <w:proofErr w:type="spellEnd"/>
      <w:r w:rsidRPr="00CE15B6">
        <w:rPr>
          <w:rFonts w:ascii="Times New Roman" w:eastAsia="Times New Roman" w:hAnsi="Times New Roman" w:cs="Times New Roman"/>
          <w:color w:val="000000"/>
          <w:sz w:val="24"/>
          <w:szCs w:val="24"/>
        </w:rPr>
        <w:t xml:space="preserve">, J. B., </w:t>
      </w:r>
      <w:proofErr w:type="spellStart"/>
      <w:r w:rsidRPr="00CE15B6">
        <w:rPr>
          <w:rFonts w:ascii="Times New Roman" w:eastAsia="Times New Roman" w:hAnsi="Times New Roman" w:cs="Times New Roman"/>
          <w:color w:val="000000"/>
          <w:sz w:val="24"/>
          <w:szCs w:val="24"/>
        </w:rPr>
        <w:t>Snippert</w:t>
      </w:r>
      <w:proofErr w:type="spellEnd"/>
      <w:r w:rsidRPr="00CE15B6">
        <w:rPr>
          <w:rFonts w:ascii="Times New Roman" w:eastAsia="Times New Roman" w:hAnsi="Times New Roman" w:cs="Times New Roman"/>
          <w:color w:val="000000"/>
          <w:sz w:val="24"/>
          <w:szCs w:val="24"/>
        </w:rPr>
        <w:t xml:space="preserve">, H. J. G., Kops, G. J. P. L., </w:t>
      </w:r>
      <w:proofErr w:type="spellStart"/>
      <w:r w:rsidRPr="00CE15B6">
        <w:rPr>
          <w:rFonts w:ascii="Times New Roman" w:eastAsia="Times New Roman" w:hAnsi="Times New Roman" w:cs="Times New Roman"/>
          <w:color w:val="000000"/>
          <w:sz w:val="24"/>
          <w:szCs w:val="24"/>
        </w:rPr>
        <w:t>Medema</w:t>
      </w:r>
      <w:proofErr w:type="spellEnd"/>
      <w:r w:rsidRPr="00CE15B6">
        <w:rPr>
          <w:rFonts w:ascii="Times New Roman" w:eastAsia="Times New Roman" w:hAnsi="Times New Roman" w:cs="Times New Roman"/>
          <w:color w:val="000000"/>
          <w:sz w:val="24"/>
          <w:szCs w:val="24"/>
        </w:rPr>
        <w:t xml:space="preserve">, J. P., </w:t>
      </w:r>
      <w:proofErr w:type="spellStart"/>
      <w:r w:rsidRPr="00CE15B6">
        <w:rPr>
          <w:rFonts w:ascii="Times New Roman" w:eastAsia="Times New Roman" w:hAnsi="Times New Roman" w:cs="Times New Roman"/>
          <w:color w:val="000000"/>
          <w:sz w:val="24"/>
          <w:szCs w:val="24"/>
        </w:rPr>
        <w:t>Ylstra</w:t>
      </w:r>
      <w:proofErr w:type="spellEnd"/>
      <w:r w:rsidRPr="00CE15B6">
        <w:rPr>
          <w:rFonts w:ascii="Times New Roman" w:eastAsia="Times New Roman" w:hAnsi="Times New Roman" w:cs="Times New Roman"/>
          <w:color w:val="000000"/>
          <w:sz w:val="24"/>
          <w:szCs w:val="24"/>
        </w:rPr>
        <w:t xml:space="preserve">, B., Vermeulen, L., &amp; </w:t>
      </w:r>
      <w:proofErr w:type="spellStart"/>
      <w:r w:rsidRPr="00CE15B6">
        <w:rPr>
          <w:rFonts w:ascii="Times New Roman" w:eastAsia="Times New Roman" w:hAnsi="Times New Roman" w:cs="Times New Roman"/>
          <w:color w:val="000000"/>
          <w:sz w:val="24"/>
          <w:szCs w:val="24"/>
        </w:rPr>
        <w:t>Miedema</w:t>
      </w:r>
      <w:proofErr w:type="spellEnd"/>
      <w:r w:rsidRPr="00CE15B6">
        <w:rPr>
          <w:rFonts w:ascii="Times New Roman" w:eastAsia="Times New Roman" w:hAnsi="Times New Roman" w:cs="Times New Roman"/>
          <w:color w:val="000000"/>
          <w:sz w:val="24"/>
          <w:szCs w:val="24"/>
        </w:rPr>
        <w:t xml:space="preserve">, D. M. (2021). Chromosomal copy number heterogeneity predicts survival rates across cancers. </w:t>
      </w:r>
      <w:r w:rsidRPr="00CE15B6">
        <w:rPr>
          <w:rFonts w:ascii="Times New Roman" w:eastAsia="Times New Roman" w:hAnsi="Times New Roman" w:cs="Times New Roman"/>
          <w:i/>
          <w:iCs/>
          <w:color w:val="000000"/>
          <w:sz w:val="24"/>
          <w:szCs w:val="24"/>
        </w:rPr>
        <w:t>Nature Communications</w:t>
      </w:r>
      <w:r w:rsidRPr="00CE15B6">
        <w:rPr>
          <w:rFonts w:ascii="Times New Roman" w:eastAsia="Times New Roman" w:hAnsi="Times New Roman" w:cs="Times New Roman"/>
          <w:color w:val="000000"/>
          <w:sz w:val="24"/>
          <w:szCs w:val="24"/>
        </w:rPr>
        <w:t xml:space="preserve">, </w:t>
      </w:r>
      <w:r w:rsidRPr="00CE15B6">
        <w:rPr>
          <w:rFonts w:ascii="Times New Roman" w:eastAsia="Times New Roman" w:hAnsi="Times New Roman" w:cs="Times New Roman"/>
          <w:i/>
          <w:iCs/>
          <w:color w:val="000000"/>
          <w:sz w:val="24"/>
          <w:szCs w:val="24"/>
        </w:rPr>
        <w:t>12</w:t>
      </w:r>
      <w:r w:rsidRPr="00CE15B6">
        <w:rPr>
          <w:rFonts w:ascii="Times New Roman" w:eastAsia="Times New Roman" w:hAnsi="Times New Roman" w:cs="Times New Roman"/>
          <w:color w:val="000000"/>
          <w:sz w:val="24"/>
          <w:szCs w:val="24"/>
        </w:rPr>
        <w:t>(1). https://doi.org/10.1038/s41467-021-23384-6</w:t>
      </w:r>
    </w:p>
    <w:p w14:paraId="1E7039A9" w14:textId="77777777" w:rsidR="00CE15B6" w:rsidRPr="00CE15B6" w:rsidRDefault="00CE15B6" w:rsidP="00CE15B6">
      <w:pPr>
        <w:shd w:val="clear" w:color="auto" w:fill="FFFFFF"/>
        <w:spacing w:after="0" w:line="240" w:lineRule="auto"/>
        <w:rPr>
          <w:rFonts w:ascii="Times New Roman" w:eastAsia="Times New Roman" w:hAnsi="Times New Roman" w:cs="Times New Roman"/>
          <w:color w:val="000000"/>
          <w:sz w:val="24"/>
          <w:szCs w:val="24"/>
        </w:rPr>
      </w:pPr>
      <w:r w:rsidRPr="00CE15B6">
        <w:rPr>
          <w:rFonts w:ascii="Times New Roman" w:eastAsia="Times New Roman" w:hAnsi="Times New Roman" w:cs="Times New Roman"/>
          <w:color w:val="000000"/>
          <w:sz w:val="24"/>
          <w:szCs w:val="24"/>
        </w:rPr>
        <w:t>‌</w:t>
      </w:r>
    </w:p>
    <w:p w14:paraId="09E265C8" w14:textId="77777777" w:rsidR="001C7C65" w:rsidRPr="001C7C65" w:rsidRDefault="001C7C65" w:rsidP="001C7C6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1C7C65">
        <w:rPr>
          <w:rFonts w:ascii="Times New Roman" w:eastAsia="Times New Roman" w:hAnsi="Times New Roman" w:cs="Times New Roman"/>
          <w:color w:val="000000"/>
          <w:sz w:val="24"/>
          <w:szCs w:val="24"/>
        </w:rPr>
        <w:t>Visintainer</w:t>
      </w:r>
      <w:proofErr w:type="spellEnd"/>
      <w:r w:rsidRPr="001C7C65">
        <w:rPr>
          <w:rFonts w:ascii="Times New Roman" w:eastAsia="Times New Roman" w:hAnsi="Times New Roman" w:cs="Times New Roman"/>
          <w:color w:val="000000"/>
          <w:sz w:val="24"/>
          <w:szCs w:val="24"/>
        </w:rPr>
        <w:t xml:space="preserve">, P. (2016, May 19). </w:t>
      </w:r>
      <w:r w:rsidRPr="001C7C65">
        <w:rPr>
          <w:rFonts w:ascii="Times New Roman" w:eastAsia="Times New Roman" w:hAnsi="Times New Roman" w:cs="Times New Roman"/>
          <w:i/>
          <w:iCs/>
          <w:color w:val="000000"/>
          <w:sz w:val="24"/>
          <w:szCs w:val="24"/>
        </w:rPr>
        <w:t>Which-statistical-test-is-best-for-comparing-two-survival-curves</w:t>
      </w:r>
      <w:r w:rsidRPr="001C7C65">
        <w:rPr>
          <w:rFonts w:ascii="Times New Roman" w:eastAsia="Times New Roman" w:hAnsi="Times New Roman" w:cs="Times New Roman"/>
          <w:color w:val="000000"/>
          <w:sz w:val="24"/>
          <w:szCs w:val="24"/>
        </w:rPr>
        <w:t>. ResearchGate.net. https://www.researchgate.net/post/Which-statistical-test-is-best-for-comparing-two-survival-curves</w:t>
      </w:r>
    </w:p>
    <w:p w14:paraId="670796D7" w14:textId="1A189042" w:rsidR="00211DE1" w:rsidRDefault="001C7C65" w:rsidP="005D6E04">
      <w:pPr>
        <w:shd w:val="clear" w:color="auto" w:fill="FFFFFF"/>
        <w:spacing w:after="0" w:line="240" w:lineRule="auto"/>
        <w:rPr>
          <w:rFonts w:ascii="Times New Roman" w:eastAsia="Times New Roman" w:hAnsi="Times New Roman" w:cs="Times New Roman"/>
          <w:color w:val="000000"/>
          <w:sz w:val="24"/>
          <w:szCs w:val="24"/>
        </w:rPr>
      </w:pPr>
      <w:r w:rsidRPr="001C7C65">
        <w:rPr>
          <w:rFonts w:ascii="Times New Roman" w:eastAsia="Times New Roman" w:hAnsi="Times New Roman" w:cs="Times New Roman"/>
          <w:color w:val="000000"/>
          <w:sz w:val="24"/>
          <w:szCs w:val="24"/>
        </w:rPr>
        <w:t>‌</w:t>
      </w:r>
    </w:p>
    <w:p w14:paraId="023774A5" w14:textId="57A5D044" w:rsidR="00193971"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 xml:space="preserve">(1). </w:t>
      </w:r>
      <w:hyperlink r:id="rId76" w:history="1">
        <w:r w:rsidR="00E766F5" w:rsidRPr="003C2C25">
          <w:rPr>
            <w:rStyle w:val="Hyperlink"/>
          </w:rPr>
          <w:t>https://doi.org/10.1038/sdata.2018.61</w:t>
        </w:r>
      </w:hyperlink>
      <w:r w:rsidRPr="00193971">
        <w:rPr>
          <w:color w:val="000000"/>
        </w:rPr>
        <w:t>‌</w:t>
      </w:r>
    </w:p>
    <w:p w14:paraId="52C40555" w14:textId="77777777" w:rsidR="00E766F5" w:rsidRPr="00886C0A" w:rsidRDefault="00E766F5" w:rsidP="00193971">
      <w:pPr>
        <w:pStyle w:val="NormalWeb"/>
        <w:shd w:val="clear" w:color="auto" w:fill="FFFFFF"/>
        <w:spacing w:before="0" w:beforeAutospacing="0" w:after="0" w:afterAutospacing="0"/>
        <w:ind w:left="720" w:hanging="720"/>
        <w:rPr>
          <w:color w:val="000000"/>
        </w:rPr>
      </w:pP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77"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045E10D6" w:rsidR="00646509" w:rsidRDefault="00D15DD8" w:rsidP="00D15DD8">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78" w:history="1">
        <w:r w:rsidR="00A95F11" w:rsidRPr="00886C0A">
          <w:rPr>
            <w:rStyle w:val="Hyperlink"/>
            <w:rFonts w:ascii="Times New Roman" w:hAnsi="Times New Roman" w:cs="Times New Roman"/>
            <w:sz w:val="24"/>
            <w:szCs w:val="24"/>
          </w:rPr>
          <w:t>https://doi.org/10.1038/onc.2013.307</w:t>
        </w:r>
      </w:hyperlink>
    </w:p>
    <w:p w14:paraId="53F636EC" w14:textId="77777777" w:rsidR="00932B51" w:rsidRPr="00932B51" w:rsidRDefault="00932B51" w:rsidP="00932B51">
      <w:pPr>
        <w:shd w:val="clear" w:color="auto" w:fill="FFFFFF"/>
        <w:spacing w:after="0" w:line="240" w:lineRule="auto"/>
        <w:ind w:left="720" w:hanging="720"/>
        <w:rPr>
          <w:rFonts w:ascii="Times New Roman" w:eastAsia="Times New Roman" w:hAnsi="Times New Roman" w:cs="Times New Roman"/>
          <w:color w:val="000000"/>
          <w:sz w:val="24"/>
          <w:szCs w:val="24"/>
        </w:rPr>
      </w:pPr>
      <w:r w:rsidRPr="00932B51">
        <w:rPr>
          <w:rFonts w:ascii="Times New Roman" w:eastAsia="Times New Roman" w:hAnsi="Times New Roman" w:cs="Times New Roman"/>
          <w:color w:val="000000"/>
          <w:sz w:val="24"/>
          <w:szCs w:val="24"/>
        </w:rPr>
        <w:t xml:space="preserve">Xu, L. (2019, April 18). </w:t>
      </w:r>
      <w:r w:rsidRPr="00932B51">
        <w:rPr>
          <w:rFonts w:ascii="Times New Roman" w:eastAsia="Times New Roman" w:hAnsi="Times New Roman" w:cs="Times New Roman"/>
          <w:i/>
          <w:iCs/>
          <w:color w:val="000000"/>
          <w:sz w:val="24"/>
          <w:szCs w:val="24"/>
        </w:rPr>
        <w:t>Lecture 5THE PROPORTIONAL HAZARDSREGRESSION MODEL</w:t>
      </w:r>
      <w:r w:rsidRPr="00932B51">
        <w:rPr>
          <w:rFonts w:ascii="Times New Roman" w:eastAsia="Times New Roman" w:hAnsi="Times New Roman" w:cs="Times New Roman"/>
          <w:color w:val="000000"/>
          <w:sz w:val="24"/>
          <w:szCs w:val="24"/>
        </w:rPr>
        <w:t>. Math UCSD. https://www.math.ucsd.edu/~rxu/math284/slect5.pdf</w:t>
      </w:r>
    </w:p>
    <w:p w14:paraId="27B89D76" w14:textId="3AAF6BEB" w:rsidR="00932B51" w:rsidRPr="00886C0A" w:rsidRDefault="00932B51" w:rsidP="00932B51">
      <w:pPr>
        <w:shd w:val="clear" w:color="auto" w:fill="FFFFFF"/>
        <w:spacing w:after="0" w:line="240" w:lineRule="auto"/>
        <w:rPr>
          <w:rFonts w:ascii="Times New Roman" w:hAnsi="Times New Roman" w:cs="Times New Roman"/>
          <w:sz w:val="24"/>
          <w:szCs w:val="24"/>
        </w:rPr>
      </w:pPr>
      <w:r w:rsidRPr="00932B51">
        <w:rPr>
          <w:rFonts w:ascii="Times New Roman" w:eastAsia="Times New Roman" w:hAnsi="Times New Roman" w:cs="Times New Roman"/>
          <w:color w:val="000000"/>
          <w:sz w:val="24"/>
          <w:szCs w:val="24"/>
        </w:rPr>
        <w:t>‌</w:t>
      </w:r>
    </w:p>
    <w:p w14:paraId="05FC6812" w14:textId="78084541" w:rsidR="00646509" w:rsidRDefault="00646509" w:rsidP="00646509">
      <w:pPr>
        <w:pStyle w:val="NormalWeb"/>
        <w:spacing w:before="0" w:beforeAutospacing="0" w:after="0" w:afterAutospacing="0"/>
        <w:ind w:left="720" w:hanging="720"/>
        <w:rPr>
          <w:rStyle w:val="Hyperlink"/>
        </w:rPr>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 xml:space="preserve">(1). </w:t>
      </w:r>
      <w:hyperlink r:id="rId79" w:history="1">
        <w:r w:rsidR="00511910" w:rsidRPr="00AF7090">
          <w:rPr>
            <w:rStyle w:val="Hyperlink"/>
          </w:rPr>
          <w:t>https://doi.org/10.1186/s12967-019-2058-1</w:t>
        </w:r>
      </w:hyperlink>
    </w:p>
    <w:p w14:paraId="7055B88F" w14:textId="23964029" w:rsidR="00D34F96" w:rsidRDefault="00D34F96" w:rsidP="00646509">
      <w:pPr>
        <w:pStyle w:val="NormalWeb"/>
        <w:spacing w:before="0" w:beforeAutospacing="0" w:after="0" w:afterAutospacing="0"/>
        <w:ind w:left="720" w:hanging="720"/>
        <w:rPr>
          <w:rStyle w:val="Hyperlink"/>
        </w:rPr>
      </w:pPr>
    </w:p>
    <w:p w14:paraId="05D511D2" w14:textId="77777777" w:rsidR="00D34F96" w:rsidRPr="00D34F96" w:rsidRDefault="00D34F96" w:rsidP="00D34F96">
      <w:pPr>
        <w:shd w:val="clear" w:color="auto" w:fill="FFFFFF"/>
        <w:spacing w:after="0" w:line="240" w:lineRule="auto"/>
        <w:ind w:left="720" w:hanging="720"/>
        <w:rPr>
          <w:rFonts w:ascii="Times New Roman" w:eastAsia="Times New Roman" w:hAnsi="Times New Roman" w:cs="Times New Roman"/>
          <w:color w:val="000000"/>
          <w:sz w:val="24"/>
          <w:szCs w:val="24"/>
        </w:rPr>
      </w:pPr>
      <w:r w:rsidRPr="00D34F96">
        <w:rPr>
          <w:rFonts w:ascii="Times New Roman" w:eastAsia="Times New Roman" w:hAnsi="Times New Roman" w:cs="Times New Roman"/>
          <w:color w:val="000000"/>
          <w:sz w:val="24"/>
          <w:szCs w:val="24"/>
        </w:rPr>
        <w:t xml:space="preserve">Yi, N., Xu, S., Lou, X.-Y., &amp; Mallick, H. (2014). Multiple comparisons in genetic association studies: a hierarchical modeling approach. </w:t>
      </w:r>
      <w:r w:rsidRPr="00D34F96">
        <w:rPr>
          <w:rFonts w:ascii="Times New Roman" w:eastAsia="Times New Roman" w:hAnsi="Times New Roman" w:cs="Times New Roman"/>
          <w:i/>
          <w:iCs/>
          <w:color w:val="000000"/>
          <w:sz w:val="24"/>
          <w:szCs w:val="24"/>
        </w:rPr>
        <w:t>Statistical Applications in Genetics and Molecular Biology</w:t>
      </w:r>
      <w:r w:rsidRPr="00D34F96">
        <w:rPr>
          <w:rFonts w:ascii="Times New Roman" w:eastAsia="Times New Roman" w:hAnsi="Times New Roman" w:cs="Times New Roman"/>
          <w:color w:val="000000"/>
          <w:sz w:val="24"/>
          <w:szCs w:val="24"/>
        </w:rPr>
        <w:t xml:space="preserve">, </w:t>
      </w:r>
      <w:r w:rsidRPr="00D34F96">
        <w:rPr>
          <w:rFonts w:ascii="Times New Roman" w:eastAsia="Times New Roman" w:hAnsi="Times New Roman" w:cs="Times New Roman"/>
          <w:i/>
          <w:iCs/>
          <w:color w:val="000000"/>
          <w:sz w:val="24"/>
          <w:szCs w:val="24"/>
        </w:rPr>
        <w:t>13</w:t>
      </w:r>
      <w:r w:rsidRPr="00D34F96">
        <w:rPr>
          <w:rFonts w:ascii="Times New Roman" w:eastAsia="Times New Roman" w:hAnsi="Times New Roman" w:cs="Times New Roman"/>
          <w:color w:val="000000"/>
          <w:sz w:val="24"/>
          <w:szCs w:val="24"/>
        </w:rPr>
        <w:t>(1). https://doi.org/10.1515/sagmb-2012-0040</w:t>
      </w:r>
    </w:p>
    <w:p w14:paraId="20A13B71" w14:textId="3EAF2C94" w:rsidR="00F2668C" w:rsidRDefault="00D34F96" w:rsidP="00D34F96">
      <w:pPr>
        <w:shd w:val="clear" w:color="auto" w:fill="FFFFFF"/>
        <w:spacing w:after="0" w:line="240" w:lineRule="auto"/>
        <w:rPr>
          <w:rStyle w:val="Hyperlink"/>
        </w:rPr>
      </w:pPr>
      <w:r w:rsidRPr="00D34F96">
        <w:rPr>
          <w:rFonts w:ascii="Times New Roman" w:eastAsia="Times New Roman" w:hAnsi="Times New Roman" w:cs="Times New Roman"/>
          <w:color w:val="000000"/>
          <w:sz w:val="24"/>
          <w:szCs w:val="24"/>
        </w:rPr>
        <w:t>‌</w:t>
      </w:r>
    </w:p>
    <w:p w14:paraId="46A32C3D" w14:textId="77777777" w:rsidR="00F2668C" w:rsidRPr="00F2668C" w:rsidRDefault="00F2668C" w:rsidP="00F2668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F2668C">
        <w:rPr>
          <w:rFonts w:ascii="Times New Roman" w:eastAsia="Times New Roman" w:hAnsi="Times New Roman" w:cs="Times New Roman"/>
          <w:color w:val="000000"/>
          <w:sz w:val="24"/>
          <w:szCs w:val="24"/>
        </w:rPr>
        <w:lastRenderedPageBreak/>
        <w:t>Zaimy</w:t>
      </w:r>
      <w:proofErr w:type="spellEnd"/>
      <w:r w:rsidRPr="00F2668C">
        <w:rPr>
          <w:rFonts w:ascii="Times New Roman" w:eastAsia="Times New Roman" w:hAnsi="Times New Roman" w:cs="Times New Roman"/>
          <w:color w:val="000000"/>
          <w:sz w:val="24"/>
          <w:szCs w:val="24"/>
        </w:rPr>
        <w:t xml:space="preserve">, M. A., </w:t>
      </w:r>
      <w:proofErr w:type="spellStart"/>
      <w:r w:rsidRPr="00F2668C">
        <w:rPr>
          <w:rFonts w:ascii="Times New Roman" w:eastAsia="Times New Roman" w:hAnsi="Times New Roman" w:cs="Times New Roman"/>
          <w:color w:val="000000"/>
          <w:sz w:val="24"/>
          <w:szCs w:val="24"/>
        </w:rPr>
        <w:t>Saffarzadeh</w:t>
      </w:r>
      <w:proofErr w:type="spellEnd"/>
      <w:r w:rsidRPr="00F2668C">
        <w:rPr>
          <w:rFonts w:ascii="Times New Roman" w:eastAsia="Times New Roman" w:hAnsi="Times New Roman" w:cs="Times New Roman"/>
          <w:color w:val="000000"/>
          <w:sz w:val="24"/>
          <w:szCs w:val="24"/>
        </w:rPr>
        <w:t xml:space="preserve">, N., Mohammadi, A., </w:t>
      </w:r>
      <w:proofErr w:type="spellStart"/>
      <w:r w:rsidRPr="00F2668C">
        <w:rPr>
          <w:rFonts w:ascii="Times New Roman" w:eastAsia="Times New Roman" w:hAnsi="Times New Roman" w:cs="Times New Roman"/>
          <w:color w:val="000000"/>
          <w:sz w:val="24"/>
          <w:szCs w:val="24"/>
        </w:rPr>
        <w:t>Pourghadamyari</w:t>
      </w:r>
      <w:proofErr w:type="spellEnd"/>
      <w:r w:rsidRPr="00F2668C">
        <w:rPr>
          <w:rFonts w:ascii="Times New Roman" w:eastAsia="Times New Roman" w:hAnsi="Times New Roman" w:cs="Times New Roman"/>
          <w:color w:val="000000"/>
          <w:sz w:val="24"/>
          <w:szCs w:val="24"/>
        </w:rPr>
        <w:t xml:space="preserve">, H., Izadi, P., </w:t>
      </w:r>
      <w:proofErr w:type="spellStart"/>
      <w:r w:rsidRPr="00F2668C">
        <w:rPr>
          <w:rFonts w:ascii="Times New Roman" w:eastAsia="Times New Roman" w:hAnsi="Times New Roman" w:cs="Times New Roman"/>
          <w:color w:val="000000"/>
          <w:sz w:val="24"/>
          <w:szCs w:val="24"/>
        </w:rPr>
        <w:t>Sarli</w:t>
      </w:r>
      <w:proofErr w:type="spellEnd"/>
      <w:r w:rsidRPr="00F2668C">
        <w:rPr>
          <w:rFonts w:ascii="Times New Roman" w:eastAsia="Times New Roman" w:hAnsi="Times New Roman" w:cs="Times New Roman"/>
          <w:color w:val="000000"/>
          <w:sz w:val="24"/>
          <w:szCs w:val="24"/>
        </w:rPr>
        <w:t xml:space="preserve">, A., Moghaddam, L. K., </w:t>
      </w:r>
      <w:proofErr w:type="spellStart"/>
      <w:r w:rsidRPr="00F2668C">
        <w:rPr>
          <w:rFonts w:ascii="Times New Roman" w:eastAsia="Times New Roman" w:hAnsi="Times New Roman" w:cs="Times New Roman"/>
          <w:color w:val="000000"/>
          <w:sz w:val="24"/>
          <w:szCs w:val="24"/>
        </w:rPr>
        <w:t>Paschepari</w:t>
      </w:r>
      <w:proofErr w:type="spellEnd"/>
      <w:r w:rsidRPr="00F2668C">
        <w:rPr>
          <w:rFonts w:ascii="Times New Roman" w:eastAsia="Times New Roman" w:hAnsi="Times New Roman" w:cs="Times New Roman"/>
          <w:color w:val="000000"/>
          <w:sz w:val="24"/>
          <w:szCs w:val="24"/>
        </w:rPr>
        <w:t xml:space="preserve">, S. R., Azizi, H., </w:t>
      </w:r>
      <w:proofErr w:type="spellStart"/>
      <w:r w:rsidRPr="00F2668C">
        <w:rPr>
          <w:rFonts w:ascii="Times New Roman" w:eastAsia="Times New Roman" w:hAnsi="Times New Roman" w:cs="Times New Roman"/>
          <w:color w:val="000000"/>
          <w:sz w:val="24"/>
          <w:szCs w:val="24"/>
        </w:rPr>
        <w:t>Torkamandi</w:t>
      </w:r>
      <w:proofErr w:type="spellEnd"/>
      <w:r w:rsidRPr="00F2668C">
        <w:rPr>
          <w:rFonts w:ascii="Times New Roman" w:eastAsia="Times New Roman" w:hAnsi="Times New Roman" w:cs="Times New Roman"/>
          <w:color w:val="000000"/>
          <w:sz w:val="24"/>
          <w:szCs w:val="24"/>
        </w:rPr>
        <w:t xml:space="preserve">, S., &amp; </w:t>
      </w:r>
      <w:proofErr w:type="spellStart"/>
      <w:r w:rsidRPr="00F2668C">
        <w:rPr>
          <w:rFonts w:ascii="Times New Roman" w:eastAsia="Times New Roman" w:hAnsi="Times New Roman" w:cs="Times New Roman"/>
          <w:color w:val="000000"/>
          <w:sz w:val="24"/>
          <w:szCs w:val="24"/>
        </w:rPr>
        <w:t>Tavakkoly</w:t>
      </w:r>
      <w:proofErr w:type="spellEnd"/>
      <w:r w:rsidRPr="00F2668C">
        <w:rPr>
          <w:rFonts w:ascii="Times New Roman" w:eastAsia="Times New Roman" w:hAnsi="Times New Roman" w:cs="Times New Roman"/>
          <w:color w:val="000000"/>
          <w:sz w:val="24"/>
          <w:szCs w:val="24"/>
        </w:rPr>
        <w:t xml:space="preserve">-Bazzaz, J. (2017). New methods in the diagnosis of cancer and gene therapy of cancer based on nanoparticles. </w:t>
      </w:r>
      <w:r w:rsidRPr="00F2668C">
        <w:rPr>
          <w:rFonts w:ascii="Times New Roman" w:eastAsia="Times New Roman" w:hAnsi="Times New Roman" w:cs="Times New Roman"/>
          <w:i/>
          <w:iCs/>
          <w:color w:val="000000"/>
          <w:sz w:val="24"/>
          <w:szCs w:val="24"/>
        </w:rPr>
        <w:t>Cancer Gene Therapy</w:t>
      </w:r>
      <w:r w:rsidRPr="00F2668C">
        <w:rPr>
          <w:rFonts w:ascii="Times New Roman" w:eastAsia="Times New Roman" w:hAnsi="Times New Roman" w:cs="Times New Roman"/>
          <w:color w:val="000000"/>
          <w:sz w:val="24"/>
          <w:szCs w:val="24"/>
        </w:rPr>
        <w:t xml:space="preserve">, </w:t>
      </w:r>
      <w:r w:rsidRPr="00F2668C">
        <w:rPr>
          <w:rFonts w:ascii="Times New Roman" w:eastAsia="Times New Roman" w:hAnsi="Times New Roman" w:cs="Times New Roman"/>
          <w:i/>
          <w:iCs/>
          <w:color w:val="000000"/>
          <w:sz w:val="24"/>
          <w:szCs w:val="24"/>
        </w:rPr>
        <w:t>24</w:t>
      </w:r>
      <w:r w:rsidRPr="00F2668C">
        <w:rPr>
          <w:rFonts w:ascii="Times New Roman" w:eastAsia="Times New Roman" w:hAnsi="Times New Roman" w:cs="Times New Roman"/>
          <w:color w:val="000000"/>
          <w:sz w:val="24"/>
          <w:szCs w:val="24"/>
        </w:rPr>
        <w:t>(6), 233–243. https://doi.org/10.1038/cgt.2017.16</w:t>
      </w:r>
    </w:p>
    <w:p w14:paraId="7CE50982" w14:textId="77777777" w:rsidR="00F2668C" w:rsidRPr="00F2668C" w:rsidRDefault="00F2668C" w:rsidP="00F2668C">
      <w:pPr>
        <w:shd w:val="clear" w:color="auto" w:fill="FFFFFF"/>
        <w:spacing w:after="0" w:line="240" w:lineRule="auto"/>
        <w:rPr>
          <w:rFonts w:ascii="Times New Roman" w:eastAsia="Times New Roman" w:hAnsi="Times New Roman" w:cs="Times New Roman"/>
          <w:color w:val="000000"/>
          <w:sz w:val="24"/>
          <w:szCs w:val="24"/>
        </w:rPr>
      </w:pPr>
      <w:r w:rsidRPr="00F2668C">
        <w:rPr>
          <w:rFonts w:ascii="Times New Roman" w:eastAsia="Times New Roman" w:hAnsi="Times New Roman" w:cs="Times New Roman"/>
          <w:color w:val="000000"/>
          <w:sz w:val="24"/>
          <w:szCs w:val="24"/>
        </w:rPr>
        <w:t>‌</w:t>
      </w:r>
    </w:p>
    <w:p w14:paraId="51B3D807" w14:textId="1142D32B" w:rsidR="00511910" w:rsidRDefault="00511910"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1910">
        <w:rPr>
          <w:rFonts w:ascii="Times New Roman" w:eastAsia="Times New Roman" w:hAnsi="Times New Roman" w:cs="Times New Roman"/>
          <w:color w:val="000000"/>
          <w:sz w:val="24"/>
          <w:szCs w:val="24"/>
        </w:rPr>
        <w:t>Zarrei</w:t>
      </w:r>
      <w:proofErr w:type="spellEnd"/>
      <w:r w:rsidRPr="00511910">
        <w:rPr>
          <w:rFonts w:ascii="Times New Roman" w:eastAsia="Times New Roman" w:hAnsi="Times New Roman" w:cs="Times New Roman"/>
          <w:color w:val="000000"/>
          <w:sz w:val="24"/>
          <w:szCs w:val="24"/>
        </w:rPr>
        <w:t xml:space="preserve">, M., MacDonald, J. R., Merico, D., &amp; Scherer, S. (2015). A copy number variation map of the human genome. </w:t>
      </w:r>
      <w:r w:rsidRPr="00511910">
        <w:rPr>
          <w:rFonts w:ascii="Times New Roman" w:eastAsia="Times New Roman" w:hAnsi="Times New Roman" w:cs="Times New Roman"/>
          <w:i/>
          <w:iCs/>
          <w:color w:val="000000"/>
          <w:sz w:val="24"/>
          <w:szCs w:val="24"/>
        </w:rPr>
        <w:t>Nature Reviews Genetics</w:t>
      </w:r>
      <w:r w:rsidRPr="00511910">
        <w:rPr>
          <w:rFonts w:ascii="Times New Roman" w:eastAsia="Times New Roman" w:hAnsi="Times New Roman" w:cs="Times New Roman"/>
          <w:color w:val="000000"/>
          <w:sz w:val="24"/>
          <w:szCs w:val="24"/>
        </w:rPr>
        <w:t xml:space="preserve">, </w:t>
      </w:r>
      <w:r w:rsidRPr="00511910">
        <w:rPr>
          <w:rFonts w:ascii="Times New Roman" w:eastAsia="Times New Roman" w:hAnsi="Times New Roman" w:cs="Times New Roman"/>
          <w:i/>
          <w:iCs/>
          <w:color w:val="000000"/>
          <w:sz w:val="24"/>
          <w:szCs w:val="24"/>
        </w:rPr>
        <w:t>16</w:t>
      </w:r>
      <w:r w:rsidRPr="00511910">
        <w:rPr>
          <w:rFonts w:ascii="Times New Roman" w:eastAsia="Times New Roman" w:hAnsi="Times New Roman" w:cs="Times New Roman"/>
          <w:color w:val="000000"/>
          <w:sz w:val="24"/>
          <w:szCs w:val="24"/>
        </w:rPr>
        <w:t>, 172–183. https://doi.org/A copy number variation map of the human genome</w:t>
      </w:r>
    </w:p>
    <w:p w14:paraId="4BABCC8C" w14:textId="77777777" w:rsidR="008671C1" w:rsidRDefault="008671C1"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2890DB5B" w14:textId="6BA17F9E" w:rsidR="008671C1" w:rsidRDefault="008671C1" w:rsidP="00511910">
      <w:pPr>
        <w:shd w:val="clear" w:color="auto" w:fill="FFFFFF"/>
        <w:spacing w:after="0" w:line="240" w:lineRule="auto"/>
        <w:ind w:left="720" w:hanging="720"/>
        <w:rPr>
          <w:rFonts w:ascii="Times New Roman" w:eastAsia="Times New Roman" w:hAnsi="Times New Roman" w:cs="Times New Roman"/>
          <w:color w:val="000000"/>
          <w:sz w:val="24"/>
          <w:szCs w:val="24"/>
        </w:rPr>
      </w:pPr>
      <w:r w:rsidRPr="008671C1">
        <w:rPr>
          <w:rFonts w:ascii="Times New Roman" w:eastAsia="Times New Roman" w:hAnsi="Times New Roman" w:cs="Times New Roman"/>
          <w:color w:val="000000"/>
          <w:sz w:val="24"/>
          <w:szCs w:val="24"/>
        </w:rPr>
        <w:t xml:space="preserve">Zhang, Z., </w:t>
      </w:r>
      <w:proofErr w:type="spellStart"/>
      <w:r w:rsidRPr="008671C1">
        <w:rPr>
          <w:rFonts w:ascii="Times New Roman" w:eastAsia="Times New Roman" w:hAnsi="Times New Roman" w:cs="Times New Roman"/>
          <w:color w:val="000000"/>
          <w:sz w:val="24"/>
          <w:szCs w:val="24"/>
        </w:rPr>
        <w:t>Reinikainen</w:t>
      </w:r>
      <w:proofErr w:type="spellEnd"/>
      <w:r w:rsidRPr="008671C1">
        <w:rPr>
          <w:rFonts w:ascii="Times New Roman" w:eastAsia="Times New Roman" w:hAnsi="Times New Roman" w:cs="Times New Roman"/>
          <w:color w:val="000000"/>
          <w:sz w:val="24"/>
          <w:szCs w:val="24"/>
        </w:rPr>
        <w:t xml:space="preserve">, J., Adeleke, K. A., Pieterse, M. E., &amp; </w:t>
      </w:r>
      <w:proofErr w:type="spellStart"/>
      <w:r w:rsidRPr="008671C1">
        <w:rPr>
          <w:rFonts w:ascii="Times New Roman" w:eastAsia="Times New Roman" w:hAnsi="Times New Roman" w:cs="Times New Roman"/>
          <w:color w:val="000000"/>
          <w:sz w:val="24"/>
          <w:szCs w:val="24"/>
        </w:rPr>
        <w:t>Groothuis-Oudshoorn</w:t>
      </w:r>
      <w:proofErr w:type="spellEnd"/>
      <w:r w:rsidRPr="008671C1">
        <w:rPr>
          <w:rFonts w:ascii="Times New Roman" w:eastAsia="Times New Roman" w:hAnsi="Times New Roman" w:cs="Times New Roman"/>
          <w:color w:val="000000"/>
          <w:sz w:val="24"/>
          <w:szCs w:val="24"/>
        </w:rPr>
        <w:t xml:space="preserve">, C. G. M. (2018). Time-varying covariates and coefficients in Cox regression models. </w:t>
      </w:r>
      <w:r w:rsidRPr="008671C1">
        <w:rPr>
          <w:rFonts w:ascii="Times New Roman" w:eastAsia="Times New Roman" w:hAnsi="Times New Roman" w:cs="Times New Roman"/>
          <w:i/>
          <w:iCs/>
          <w:color w:val="000000"/>
          <w:sz w:val="24"/>
          <w:szCs w:val="24"/>
        </w:rPr>
        <w:t>Annals of Translational Medicine</w:t>
      </w:r>
      <w:r w:rsidRPr="008671C1">
        <w:rPr>
          <w:rFonts w:ascii="Times New Roman" w:eastAsia="Times New Roman" w:hAnsi="Times New Roman" w:cs="Times New Roman"/>
          <w:color w:val="000000"/>
          <w:sz w:val="24"/>
          <w:szCs w:val="24"/>
        </w:rPr>
        <w:t xml:space="preserve">, </w:t>
      </w:r>
      <w:r w:rsidRPr="008671C1">
        <w:rPr>
          <w:rFonts w:ascii="Times New Roman" w:eastAsia="Times New Roman" w:hAnsi="Times New Roman" w:cs="Times New Roman"/>
          <w:i/>
          <w:iCs/>
          <w:color w:val="000000"/>
          <w:sz w:val="24"/>
          <w:szCs w:val="24"/>
        </w:rPr>
        <w:t>6</w:t>
      </w:r>
      <w:r w:rsidRPr="008671C1">
        <w:rPr>
          <w:rFonts w:ascii="Times New Roman" w:eastAsia="Times New Roman" w:hAnsi="Times New Roman" w:cs="Times New Roman"/>
          <w:color w:val="000000"/>
          <w:sz w:val="24"/>
          <w:szCs w:val="24"/>
        </w:rPr>
        <w:t>(7), 121–121. https://doi.org/10.21037/atm.2018.02.12</w:t>
      </w:r>
    </w:p>
    <w:p w14:paraId="6C6416A6" w14:textId="56C5CEB2" w:rsidR="008A5649"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5A07D7B7" w14:textId="77777777" w:rsidR="00F3416B" w:rsidRPr="008A5649" w:rsidRDefault="00F3416B" w:rsidP="00F3416B">
      <w:pPr>
        <w:shd w:val="clear" w:color="auto" w:fill="FFFFFF"/>
        <w:spacing w:after="0" w:line="240" w:lineRule="auto"/>
        <w:ind w:left="720" w:hanging="720"/>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 xml:space="preserve">Zhao, F., Wang, Y., Zheng, J., Wen, Y., Qu, M., Kang, S., Wu, S., Deng, X., Hong, K., Li, S., Qin, X., Wu, Z., Wang, X., Ai, C., Li, A., Zeng, L., Hu, J., Zeng, D., Shang, L., &amp; Wang, Q. (2020). A genome-wide survey of copy number variations reveals an asymmetric evolution of duplicated genes in rice. </w:t>
      </w:r>
      <w:r w:rsidRPr="008A5649">
        <w:rPr>
          <w:rFonts w:ascii="Times New Roman" w:eastAsia="Times New Roman" w:hAnsi="Times New Roman" w:cs="Times New Roman"/>
          <w:i/>
          <w:iCs/>
          <w:color w:val="000000"/>
          <w:sz w:val="24"/>
          <w:szCs w:val="24"/>
        </w:rPr>
        <w:t>BMC Biology</w:t>
      </w:r>
      <w:r w:rsidRPr="008A5649">
        <w:rPr>
          <w:rFonts w:ascii="Times New Roman" w:eastAsia="Times New Roman" w:hAnsi="Times New Roman" w:cs="Times New Roman"/>
          <w:color w:val="000000"/>
          <w:sz w:val="24"/>
          <w:szCs w:val="24"/>
        </w:rPr>
        <w:t xml:space="preserve">, </w:t>
      </w:r>
      <w:r w:rsidRPr="008A5649">
        <w:rPr>
          <w:rFonts w:ascii="Times New Roman" w:eastAsia="Times New Roman" w:hAnsi="Times New Roman" w:cs="Times New Roman"/>
          <w:i/>
          <w:iCs/>
          <w:color w:val="000000"/>
          <w:sz w:val="24"/>
          <w:szCs w:val="24"/>
        </w:rPr>
        <w:t>18</w:t>
      </w:r>
      <w:r w:rsidRPr="008A5649">
        <w:rPr>
          <w:rFonts w:ascii="Times New Roman" w:eastAsia="Times New Roman" w:hAnsi="Times New Roman" w:cs="Times New Roman"/>
          <w:color w:val="000000"/>
          <w:sz w:val="24"/>
          <w:szCs w:val="24"/>
        </w:rPr>
        <w:t>(1). https://doi.org/10.1186/s12915-020-00798-0</w:t>
      </w:r>
    </w:p>
    <w:p w14:paraId="1323E6AF" w14:textId="5543A0FF" w:rsidR="00A62D3E" w:rsidRDefault="005F018D" w:rsidP="00F341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5D411D2" w14:textId="6355732E" w:rsidR="00AB7ECA" w:rsidRPr="00AB1DDB" w:rsidRDefault="00AB7ECA" w:rsidP="008671C1">
      <w:pPr>
        <w:shd w:val="clear" w:color="auto" w:fill="FFFFFF"/>
        <w:spacing w:after="0" w:line="24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4AFDE5AE" w14:textId="6D949964" w:rsidR="00D74CB4" w:rsidRPr="00D74CB4" w:rsidRDefault="00AB7ECA" w:rsidP="00D74CB4">
      <w:pPr>
        <w:spacing w:line="360" w:lineRule="auto"/>
        <w:rPr>
          <w:rFonts w:ascii="Times New Roman" w:hAnsi="Times New Roman" w:cs="Times New Roman"/>
          <w:bCs/>
          <w:sz w:val="18"/>
          <w:szCs w:val="18"/>
        </w:rPr>
      </w:pPr>
      <w:r>
        <w:rPr>
          <w:rFonts w:ascii="Times New Roman" w:hAnsi="Times New Roman" w:cs="Times New Roman"/>
          <w:b/>
          <w:noProof/>
        </w:rPr>
        <w:drawing>
          <wp:inline distT="0" distB="0" distL="0" distR="0" wp14:anchorId="261693E8" wp14:editId="553E1D7B">
            <wp:extent cx="5880735" cy="16573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81154" cy="1657468"/>
                    </a:xfrm>
                    <a:prstGeom prst="rect">
                      <a:avLst/>
                    </a:prstGeom>
                    <a:noFill/>
                    <a:ln>
                      <a:solidFill>
                        <a:schemeClr val="tx1"/>
                      </a:solidFill>
                    </a:ln>
                  </pic:spPr>
                </pic:pic>
              </a:graphicData>
            </a:graphic>
          </wp:inline>
        </w:drawing>
      </w:r>
      <w:r>
        <w:rPr>
          <w:rFonts w:ascii="Times New Roman" w:hAnsi="Times New Roman" w:cs="Times New Roman"/>
          <w:b/>
        </w:rPr>
        <w:br/>
      </w:r>
      <w:r w:rsidR="00D74CB4">
        <w:rPr>
          <w:rFonts w:ascii="Times New Roman" w:hAnsi="Times New Roman" w:cs="Times New Roman"/>
          <w:bCs/>
          <w:sz w:val="18"/>
          <w:szCs w:val="18"/>
        </w:rPr>
        <w:t xml:space="preserve">This figure shows the workflow in Alteryx for data wrangling.  Two gene data was pivoted and then joined with the patient data on patient </w:t>
      </w:r>
      <w:r w:rsidR="00916270">
        <w:rPr>
          <w:rFonts w:ascii="Times New Roman" w:hAnsi="Times New Roman" w:cs="Times New Roman"/>
          <w:bCs/>
          <w:sz w:val="18"/>
          <w:szCs w:val="18"/>
        </w:rPr>
        <w:t xml:space="preserve">TCGA </w:t>
      </w:r>
      <w:r w:rsidR="00D74CB4">
        <w:rPr>
          <w:rFonts w:ascii="Times New Roman" w:hAnsi="Times New Roman" w:cs="Times New Roman"/>
          <w:bCs/>
          <w:sz w:val="18"/>
          <w:szCs w:val="18"/>
        </w:rPr>
        <w:t xml:space="preserve">ID numbers.  The data types were then changed, and genes were filtered down to only collagen genes.  </w:t>
      </w:r>
      <w:r w:rsidR="00F02E7C">
        <w:rPr>
          <w:rFonts w:ascii="Times New Roman" w:hAnsi="Times New Roman" w:cs="Times New Roman"/>
          <w:bCs/>
          <w:sz w:val="18"/>
          <w:szCs w:val="18"/>
        </w:rPr>
        <w:t xml:space="preserve">The collagen genes were checked to make sure they had expression in the ovaries.  Any non-collagen genes or genes not related to collagen in any way were removed from analysis.  </w:t>
      </w:r>
      <w:r w:rsidR="00D74CB4">
        <w:rPr>
          <w:rFonts w:ascii="Times New Roman" w:hAnsi="Times New Roman" w:cs="Times New Roman"/>
          <w:bCs/>
          <w:sz w:val="18"/>
          <w:szCs w:val="18"/>
        </w:rPr>
        <w:t>Time to event labeled as the column “</w:t>
      </w:r>
      <w:proofErr w:type="spellStart"/>
      <w:r w:rsidR="00D74CB4">
        <w:rPr>
          <w:rFonts w:ascii="Times New Roman" w:hAnsi="Times New Roman" w:cs="Times New Roman"/>
          <w:bCs/>
          <w:sz w:val="18"/>
          <w:szCs w:val="18"/>
        </w:rPr>
        <w:t>Days.to.Death</w:t>
      </w:r>
      <w:proofErr w:type="spellEnd"/>
      <w:r w:rsidR="00D74CB4">
        <w:rPr>
          <w:rFonts w:ascii="Times New Roman" w:hAnsi="Times New Roman" w:cs="Times New Roman"/>
          <w:bCs/>
          <w:sz w:val="18"/>
          <w:szCs w:val="18"/>
        </w:rPr>
        <w:t>” was put through various formulas and filtered.  The event status was changed to a numerical variable.</w:t>
      </w:r>
      <w:r w:rsidR="00F866BC">
        <w:rPr>
          <w:rFonts w:ascii="Times New Roman" w:hAnsi="Times New Roman" w:cs="Times New Roman"/>
          <w:bCs/>
          <w:sz w:val="18"/>
          <w:szCs w:val="18"/>
        </w:rPr>
        <w:t xml:space="preserve">  The final CSV file can be found in a GitHub Repository at </w:t>
      </w:r>
      <w:r w:rsidR="00F866BC" w:rsidRPr="00F866BC">
        <w:rPr>
          <w:rFonts w:ascii="Times New Roman" w:hAnsi="Times New Roman" w:cs="Times New Roman"/>
          <w:bCs/>
          <w:sz w:val="18"/>
          <w:szCs w:val="18"/>
        </w:rPr>
        <w:t>https://github.com/hodgesr2/Pan-Collagan-Ovarian-Cancer-Study-from-TCGA</w:t>
      </w:r>
      <w:r w:rsidR="00F866BC">
        <w:rPr>
          <w:rFonts w:ascii="Times New Roman" w:hAnsi="Times New Roman" w:cs="Times New Roman"/>
          <w:bCs/>
          <w:sz w:val="18"/>
          <w:szCs w:val="18"/>
        </w:rPr>
        <w:t>.</w:t>
      </w:r>
    </w:p>
    <w:p w14:paraId="27A6986F" w14:textId="09611091" w:rsidR="00AB7ECA" w:rsidRDefault="00AB7ECA" w:rsidP="00646509">
      <w:pPr>
        <w:spacing w:line="360" w:lineRule="auto"/>
        <w:rPr>
          <w:rFonts w:ascii="Times New Roman" w:hAnsi="Times New Roman" w:cs="Times New Roman"/>
          <w:b/>
        </w:rPr>
      </w:pP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439C10D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317542" cy="2925964"/>
                    </a:xfrm>
                    <a:prstGeom prst="rect">
                      <a:avLst/>
                    </a:prstGeom>
                    <a:ln>
                      <a:solidFill>
                        <a:schemeClr val="tx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6AF205E2" wp14:editId="0AB6FB95">
            <wp:extent cx="5899785" cy="2431542"/>
            <wp:effectExtent l="19050" t="19050" r="2476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940688" cy="2448400"/>
                    </a:xfrm>
                    <a:prstGeom prst="rect">
                      <a:avLst/>
                    </a:prstGeom>
                    <a:ln>
                      <a:solidFill>
                        <a:schemeClr val="tx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drawing>
          <wp:inline distT="0" distB="0" distL="0" distR="0" wp14:anchorId="5D39C370" wp14:editId="31AED956">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98826" cy="2447682"/>
                    </a:xfrm>
                    <a:prstGeom prst="rect">
                      <a:avLst/>
                    </a:prstGeom>
                    <a:ln>
                      <a:solidFill>
                        <a:schemeClr val="tx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1BD48918">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041088" cy="2304646"/>
                    </a:xfrm>
                    <a:prstGeom prst="rect">
                      <a:avLst/>
                    </a:prstGeom>
                    <a:ln>
                      <a:solidFill>
                        <a:schemeClr val="tx1"/>
                      </a:solidFill>
                    </a:ln>
                  </pic:spPr>
                </pic:pic>
              </a:graphicData>
            </a:graphic>
          </wp:inline>
        </w:drawing>
      </w:r>
    </w:p>
    <w:p w14:paraId="03F70EBE" w14:textId="303945D1" w:rsidR="00D74CB4" w:rsidRDefault="00D74CB4" w:rsidP="00D74CB4">
      <w:pPr>
        <w:spacing w:line="360" w:lineRule="auto"/>
        <w:rPr>
          <w:rFonts w:ascii="Times New Roman" w:hAnsi="Times New Roman" w:cs="Times New Roman"/>
          <w:b/>
        </w:rPr>
      </w:pPr>
      <w:r>
        <w:rPr>
          <w:rFonts w:ascii="Times New Roman" w:hAnsi="Times New Roman" w:cs="Times New Roman"/>
          <w:bCs/>
          <w:sz w:val="18"/>
          <w:szCs w:val="18"/>
        </w:rPr>
        <w:t xml:space="preserve">Appendix B shows the various distributions of each stratified gene </w:t>
      </w:r>
      <w:r w:rsidR="00666E27">
        <w:rPr>
          <w:rFonts w:ascii="Times New Roman" w:hAnsi="Times New Roman" w:cs="Times New Roman"/>
          <w:bCs/>
          <w:sz w:val="18"/>
          <w:szCs w:val="18"/>
        </w:rPr>
        <w:t>and the column “</w:t>
      </w:r>
      <w:proofErr w:type="spellStart"/>
      <w:r w:rsidR="00666E27">
        <w:rPr>
          <w:rFonts w:ascii="Times New Roman" w:hAnsi="Times New Roman" w:cs="Times New Roman"/>
          <w:bCs/>
          <w:sz w:val="18"/>
          <w:szCs w:val="18"/>
        </w:rPr>
        <w:t>Days.to.Death</w:t>
      </w:r>
      <w:proofErr w:type="spellEnd"/>
      <w:r w:rsidR="00666E27">
        <w:rPr>
          <w:rFonts w:ascii="Times New Roman" w:hAnsi="Times New Roman" w:cs="Times New Roman"/>
          <w:bCs/>
          <w:sz w:val="18"/>
          <w:szCs w:val="18"/>
        </w:rPr>
        <w:t xml:space="preserve">”, which is the time to event, </w:t>
      </w:r>
      <w:r>
        <w:rPr>
          <w:rFonts w:ascii="Times New Roman" w:hAnsi="Times New Roman" w:cs="Times New Roman"/>
          <w:bCs/>
          <w:sz w:val="18"/>
          <w:szCs w:val="18"/>
        </w:rPr>
        <w:t>along with the population counts.</w:t>
      </w: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4B7C2803">
            <wp:extent cx="5988685" cy="2971165"/>
            <wp:effectExtent l="19050" t="19050" r="1206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185892" cy="3069005"/>
                    </a:xfrm>
                    <a:prstGeom prst="rect">
                      <a:avLst/>
                    </a:prstGeom>
                    <a:ln>
                      <a:solidFill>
                        <a:schemeClr val="tx1"/>
                      </a:solidFill>
                    </a:ln>
                  </pic:spPr>
                </pic:pic>
              </a:graphicData>
            </a:graphic>
          </wp:inline>
        </w:drawing>
      </w:r>
    </w:p>
    <w:p w14:paraId="7BF6BC0B" w14:textId="1BBE41B1" w:rsidR="00162857" w:rsidRPr="00162857" w:rsidRDefault="00162857" w:rsidP="00646509">
      <w:pPr>
        <w:spacing w:line="360" w:lineRule="auto"/>
        <w:rPr>
          <w:rFonts w:ascii="Times New Roman" w:hAnsi="Times New Roman" w:cs="Times New Roman"/>
          <w:bCs/>
        </w:rPr>
      </w:pP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347F892D">
            <wp:extent cx="5781121" cy="3185008"/>
            <wp:effectExtent l="19050" t="19050" r="1016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800003" cy="3195411"/>
                    </a:xfrm>
                    <a:prstGeom prst="rect">
                      <a:avLst/>
                    </a:prstGeom>
                    <a:ln>
                      <a:solidFill>
                        <a:schemeClr val="tx1"/>
                      </a:solidFill>
                    </a:ln>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28CFF52">
            <wp:extent cx="5943600" cy="34575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457575"/>
                    </a:xfrm>
                    <a:prstGeom prst="rect">
                      <a:avLst/>
                    </a:prstGeom>
                    <a:ln>
                      <a:solidFill>
                        <a:schemeClr val="tx1"/>
                      </a:solidFill>
                    </a:ln>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11F07B84" w:rsidR="00AB1DDB" w:rsidRDefault="00AB1DDB" w:rsidP="00646509">
      <w:pPr>
        <w:spacing w:line="360" w:lineRule="auto"/>
        <w:rPr>
          <w:noProof/>
        </w:rPr>
      </w:pPr>
      <w:r>
        <w:rPr>
          <w:rFonts w:ascii="Times New Roman" w:hAnsi="Times New Roman" w:cs="Times New Roman"/>
          <w:bCs/>
          <w:sz w:val="24"/>
          <w:szCs w:val="24"/>
        </w:rPr>
        <w:t>COL12A1</w:t>
      </w:r>
    </w:p>
    <w:p w14:paraId="075AA2D0" w14:textId="76194E6B" w:rsidR="004A7A3E" w:rsidRDefault="004A7A3E" w:rsidP="004A7A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DB8A6F" wp14:editId="5C3E467A">
            <wp:extent cx="5943600" cy="3495675"/>
            <wp:effectExtent l="19050" t="19050" r="19050" b="285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0401F402" w14:textId="1346799D" w:rsidR="00D74CB4" w:rsidRDefault="00D74CB4" w:rsidP="00D74CB4">
      <w:pPr>
        <w:spacing w:line="360" w:lineRule="auto"/>
        <w:rPr>
          <w:rFonts w:ascii="Times New Roman" w:hAnsi="Times New Roman" w:cs="Times New Roman"/>
          <w:b/>
        </w:rPr>
      </w:pPr>
      <w:r>
        <w:rPr>
          <w:rFonts w:ascii="Times New Roman" w:hAnsi="Times New Roman" w:cs="Times New Roman"/>
          <w:bCs/>
          <w:sz w:val="18"/>
          <w:szCs w:val="18"/>
        </w:rPr>
        <w:t>This figure shows the hazard function for COL12A1 which illustrates the cumulative hazard ratio over time for each stratification.  The deletion stratification shows the worst survival probability.</w:t>
      </w:r>
    </w:p>
    <w:p w14:paraId="3B24BAE9" w14:textId="78E2A324" w:rsidR="004A7A3E" w:rsidRDefault="004A7A3E" w:rsidP="004A7A3E">
      <w:pPr>
        <w:autoSpaceDE w:val="0"/>
        <w:autoSpaceDN w:val="0"/>
        <w:adjustRightInd w:val="0"/>
        <w:spacing w:after="0" w:line="240" w:lineRule="auto"/>
        <w:rPr>
          <w:rFonts w:ascii="Times New Roman" w:hAnsi="Times New Roman" w:cs="Times New Roman"/>
          <w:sz w:val="24"/>
          <w:szCs w:val="24"/>
        </w:rPr>
      </w:pPr>
    </w:p>
    <w:p w14:paraId="29999550" w14:textId="77777777" w:rsidR="00D74CB4" w:rsidRDefault="00D74CB4" w:rsidP="004A7A3E">
      <w:pPr>
        <w:autoSpaceDE w:val="0"/>
        <w:autoSpaceDN w:val="0"/>
        <w:adjustRightInd w:val="0"/>
        <w:spacing w:after="0" w:line="240" w:lineRule="auto"/>
        <w:rPr>
          <w:rFonts w:ascii="Times New Roman" w:hAnsi="Times New Roman" w:cs="Times New Roman"/>
          <w:sz w:val="24"/>
          <w:szCs w:val="24"/>
        </w:rPr>
      </w:pPr>
    </w:p>
    <w:p w14:paraId="723A7C9B" w14:textId="19024F70" w:rsidR="004A7A3E" w:rsidRDefault="00AB1DDB" w:rsidP="004A7A3E">
      <w:pPr>
        <w:spacing w:line="360" w:lineRule="auto"/>
        <w:rPr>
          <w:rFonts w:ascii="Times New Roman" w:hAnsi="Times New Roman" w:cs="Times New Roman"/>
          <w:sz w:val="24"/>
          <w:szCs w:val="24"/>
        </w:rPr>
      </w:pPr>
      <w:r>
        <w:rPr>
          <w:rFonts w:ascii="Times New Roman" w:hAnsi="Times New Roman" w:cs="Times New Roman"/>
          <w:bCs/>
          <w:sz w:val="24"/>
          <w:szCs w:val="24"/>
        </w:rPr>
        <w:lastRenderedPageBreak/>
        <w:t>COL4A3BP</w:t>
      </w:r>
      <w:r w:rsidR="004A7A3E">
        <w:rPr>
          <w:rFonts w:ascii="Times New Roman" w:hAnsi="Times New Roman" w:cs="Times New Roman"/>
          <w:noProof/>
          <w:sz w:val="24"/>
          <w:szCs w:val="24"/>
        </w:rPr>
        <w:drawing>
          <wp:inline distT="0" distB="0" distL="0" distR="0" wp14:anchorId="1DE8420C" wp14:editId="323854FB">
            <wp:extent cx="5943600" cy="3495675"/>
            <wp:effectExtent l="19050" t="19050" r="19050" b="2857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3F8D9678" w14:textId="7F325C9B" w:rsidR="00D74CB4" w:rsidRDefault="00D74CB4" w:rsidP="00D74CB4">
      <w:pPr>
        <w:spacing w:line="360" w:lineRule="auto"/>
        <w:rPr>
          <w:rFonts w:ascii="Times New Roman" w:hAnsi="Times New Roman" w:cs="Times New Roman"/>
          <w:b/>
        </w:rPr>
      </w:pPr>
      <w:r>
        <w:rPr>
          <w:rFonts w:ascii="Times New Roman" w:hAnsi="Times New Roman" w:cs="Times New Roman"/>
          <w:bCs/>
          <w:sz w:val="18"/>
          <w:szCs w:val="18"/>
        </w:rPr>
        <w:t>This figure shows the hazard function for COL4A3BP which illustrates the cumulative hazard ratio over time for each stratification.  The duplication stratification shows the worst survival probability.</w:t>
      </w:r>
    </w:p>
    <w:p w14:paraId="4AEEA06F" w14:textId="77777777" w:rsidR="00D74CB4" w:rsidRDefault="00D74CB4" w:rsidP="00646509">
      <w:pPr>
        <w:spacing w:line="360" w:lineRule="auto"/>
        <w:rPr>
          <w:rFonts w:ascii="Times New Roman" w:hAnsi="Times New Roman" w:cs="Times New Roman"/>
          <w:bCs/>
          <w:sz w:val="24"/>
          <w:szCs w:val="24"/>
        </w:rPr>
      </w:pPr>
    </w:p>
    <w:p w14:paraId="1955269E" w14:textId="77777777" w:rsidR="00D74CB4" w:rsidRDefault="00D74CB4">
      <w:pPr>
        <w:rPr>
          <w:rFonts w:ascii="Times New Roman" w:hAnsi="Times New Roman" w:cs="Times New Roman"/>
          <w:bCs/>
          <w:sz w:val="24"/>
          <w:szCs w:val="24"/>
        </w:rPr>
      </w:pPr>
      <w:r>
        <w:rPr>
          <w:rFonts w:ascii="Times New Roman" w:hAnsi="Times New Roman" w:cs="Times New Roman"/>
          <w:bCs/>
          <w:sz w:val="24"/>
          <w:szCs w:val="24"/>
        </w:rPr>
        <w:br w:type="page"/>
      </w:r>
    </w:p>
    <w:p w14:paraId="29DC69DC" w14:textId="4B586630"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3FF5A11D" w14:textId="00ADC586" w:rsidR="00742304" w:rsidRDefault="00742304" w:rsidP="007423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79B17" wp14:editId="1F3BFFD9">
            <wp:extent cx="5943600" cy="3495675"/>
            <wp:effectExtent l="19050" t="19050" r="19050" b="2857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72B73371" w14:textId="0D885837" w:rsidR="00D74CB4" w:rsidRDefault="00D74CB4" w:rsidP="00D74CB4">
      <w:pPr>
        <w:spacing w:line="360" w:lineRule="auto"/>
        <w:rPr>
          <w:rFonts w:ascii="Times New Roman" w:hAnsi="Times New Roman" w:cs="Times New Roman"/>
          <w:b/>
        </w:rPr>
      </w:pPr>
      <w:r>
        <w:rPr>
          <w:rFonts w:ascii="Times New Roman" w:hAnsi="Times New Roman" w:cs="Times New Roman"/>
          <w:bCs/>
          <w:sz w:val="18"/>
          <w:szCs w:val="18"/>
        </w:rPr>
        <w:br/>
        <w:t>This figure shows the hazard function for COL5A3 which illustrates the cumulative hazard ratio over time for each stratification.  The duplication stratification shows better survival probability.</w:t>
      </w:r>
    </w:p>
    <w:p w14:paraId="4D32B49E" w14:textId="77777777" w:rsidR="00742304" w:rsidRDefault="00742304" w:rsidP="00742304">
      <w:pPr>
        <w:autoSpaceDE w:val="0"/>
        <w:autoSpaceDN w:val="0"/>
        <w:adjustRightInd w:val="0"/>
        <w:spacing w:after="0" w:line="240" w:lineRule="auto"/>
        <w:rPr>
          <w:rFonts w:ascii="Times New Roman" w:hAnsi="Times New Roman" w:cs="Times New Roman"/>
          <w:sz w:val="24"/>
          <w:szCs w:val="24"/>
        </w:rPr>
      </w:pPr>
    </w:p>
    <w:p w14:paraId="2D47FE7F" w14:textId="77777777" w:rsidR="00742304" w:rsidRDefault="00742304" w:rsidP="00742304">
      <w:pPr>
        <w:autoSpaceDE w:val="0"/>
        <w:autoSpaceDN w:val="0"/>
        <w:adjustRightInd w:val="0"/>
        <w:spacing w:after="0" w:line="400" w:lineRule="atLeast"/>
        <w:rPr>
          <w:rFonts w:ascii="Times New Roman" w:hAnsi="Times New Roman" w:cs="Times New Roman"/>
          <w:sz w:val="24"/>
          <w:szCs w:val="24"/>
        </w:rPr>
      </w:pPr>
    </w:p>
    <w:p w14:paraId="612CFF8F" w14:textId="1EE11428" w:rsidR="008D2B7E" w:rsidRDefault="008D2B7E"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3A7F9406" w14:textId="692F71EC" w:rsidR="001C0A52" w:rsidRDefault="001C0A52" w:rsidP="001C0A52">
      <w:pPr>
        <w:rPr>
          <w:rFonts w:ascii="Times New Roman" w:hAnsi="Times New Roman" w:cs="Times New Roman"/>
          <w:b/>
          <w:sz w:val="24"/>
          <w:szCs w:val="24"/>
        </w:rPr>
      </w:pPr>
      <w:r w:rsidRPr="00AB1DDB">
        <w:rPr>
          <w:rFonts w:ascii="Times New Roman" w:hAnsi="Times New Roman" w:cs="Times New Roman"/>
          <w:b/>
          <w:sz w:val="24"/>
          <w:szCs w:val="24"/>
        </w:rPr>
        <w:lastRenderedPageBreak/>
        <w:t xml:space="preserve">Appendix </w:t>
      </w:r>
      <w:r w:rsidR="00811E8E">
        <w:rPr>
          <w:rFonts w:ascii="Times New Roman" w:hAnsi="Times New Roman" w:cs="Times New Roman"/>
          <w:b/>
          <w:sz w:val="24"/>
          <w:szCs w:val="24"/>
        </w:rPr>
        <w:t>E</w:t>
      </w:r>
    </w:p>
    <w:p w14:paraId="1B40D005" w14:textId="33C827B4" w:rsidR="001C0A52" w:rsidRDefault="001C0A52" w:rsidP="001C0A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3E68F" wp14:editId="662A621D">
            <wp:extent cx="5943600" cy="3494405"/>
            <wp:effectExtent l="19050" t="19050" r="19050" b="10795"/>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solidFill>
                        <a:schemeClr val="tx1"/>
                      </a:solidFill>
                    </a:ln>
                  </pic:spPr>
                </pic:pic>
              </a:graphicData>
            </a:graphic>
          </wp:inline>
        </w:drawing>
      </w:r>
    </w:p>
    <w:p w14:paraId="3B697A67" w14:textId="780775C1" w:rsidR="001C0A52" w:rsidRDefault="001C0A52" w:rsidP="001C0A52">
      <w:pPr>
        <w:autoSpaceDE w:val="0"/>
        <w:autoSpaceDN w:val="0"/>
        <w:adjustRightInd w:val="0"/>
        <w:spacing w:after="0" w:line="400" w:lineRule="atLeast"/>
        <w:rPr>
          <w:rFonts w:ascii="Times New Roman" w:hAnsi="Times New Roman" w:cs="Times New Roman"/>
          <w:bCs/>
          <w:sz w:val="18"/>
          <w:szCs w:val="18"/>
        </w:rPr>
      </w:pPr>
      <w:r>
        <w:rPr>
          <w:rFonts w:ascii="Times New Roman" w:hAnsi="Times New Roman" w:cs="Times New Roman"/>
          <w:bCs/>
          <w:sz w:val="18"/>
          <w:szCs w:val="18"/>
        </w:rPr>
        <w:t>This figure illustrates the survival function over time for the mean of covariates</w:t>
      </w:r>
      <w:r w:rsidR="007245DC">
        <w:rPr>
          <w:rFonts w:ascii="Times New Roman" w:hAnsi="Times New Roman" w:cs="Times New Roman"/>
          <w:bCs/>
          <w:sz w:val="18"/>
          <w:szCs w:val="18"/>
        </w:rPr>
        <w:t xml:space="preserve"> which are the 3 primary genes with statistical findings (COL5A3, COL4A3BP, and COL12A1)</w:t>
      </w:r>
      <w:r>
        <w:rPr>
          <w:rFonts w:ascii="Times New Roman" w:hAnsi="Times New Roman" w:cs="Times New Roman"/>
          <w:bCs/>
          <w:sz w:val="18"/>
          <w:szCs w:val="18"/>
        </w:rPr>
        <w:t>.</w:t>
      </w:r>
    </w:p>
    <w:p w14:paraId="513D5F3A" w14:textId="56962057" w:rsidR="007245DC" w:rsidRDefault="007245DC">
      <w:pPr>
        <w:rPr>
          <w:rFonts w:ascii="Times New Roman" w:hAnsi="Times New Roman" w:cs="Times New Roman"/>
          <w:bCs/>
          <w:sz w:val="18"/>
          <w:szCs w:val="18"/>
        </w:rPr>
      </w:pPr>
      <w:r>
        <w:rPr>
          <w:rFonts w:ascii="Times New Roman" w:hAnsi="Times New Roman" w:cs="Times New Roman"/>
          <w:bCs/>
          <w:sz w:val="18"/>
          <w:szCs w:val="18"/>
        </w:rPr>
        <w:br w:type="page"/>
      </w:r>
    </w:p>
    <w:p w14:paraId="586392CE" w14:textId="77777777" w:rsidR="007245DC" w:rsidRDefault="007245DC" w:rsidP="001C0A52">
      <w:pPr>
        <w:autoSpaceDE w:val="0"/>
        <w:autoSpaceDN w:val="0"/>
        <w:adjustRightInd w:val="0"/>
        <w:spacing w:after="0" w:line="400" w:lineRule="atLeast"/>
        <w:rPr>
          <w:rFonts w:ascii="Times New Roman" w:hAnsi="Times New Roman" w:cs="Times New Roman"/>
          <w:bCs/>
          <w:sz w:val="18"/>
          <w:szCs w:val="18"/>
        </w:rPr>
      </w:pPr>
    </w:p>
    <w:p w14:paraId="10E8C74D" w14:textId="5D49CD72" w:rsidR="007245DC" w:rsidRDefault="007245DC" w:rsidP="007245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C7E6A9" wp14:editId="142E7DA0">
            <wp:extent cx="5943600" cy="3494405"/>
            <wp:effectExtent l="19050" t="19050" r="19050" b="1079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solidFill>
                        <a:schemeClr val="tx1"/>
                      </a:solidFill>
                    </a:ln>
                  </pic:spPr>
                </pic:pic>
              </a:graphicData>
            </a:graphic>
          </wp:inline>
        </w:drawing>
      </w:r>
    </w:p>
    <w:p w14:paraId="4E72B6F8" w14:textId="3A9FC163" w:rsidR="007245DC" w:rsidRDefault="007245DC" w:rsidP="007245DC">
      <w:pPr>
        <w:autoSpaceDE w:val="0"/>
        <w:autoSpaceDN w:val="0"/>
        <w:adjustRightInd w:val="0"/>
        <w:spacing w:after="0" w:line="400" w:lineRule="atLeast"/>
        <w:rPr>
          <w:rFonts w:ascii="Times New Roman" w:hAnsi="Times New Roman" w:cs="Times New Roman"/>
          <w:bCs/>
          <w:sz w:val="18"/>
          <w:szCs w:val="18"/>
        </w:rPr>
      </w:pPr>
      <w:r>
        <w:rPr>
          <w:rFonts w:ascii="Times New Roman" w:hAnsi="Times New Roman" w:cs="Times New Roman"/>
          <w:bCs/>
          <w:sz w:val="18"/>
          <w:szCs w:val="18"/>
        </w:rPr>
        <w:t>This figure illustrates the hazard function over time for the mean of covariates which are the 3 primary genes with statistical findings (COL5A3, COL4A3BP, and COL12A1).</w:t>
      </w:r>
    </w:p>
    <w:p w14:paraId="26D77362" w14:textId="77777777" w:rsidR="007245DC" w:rsidRDefault="007245DC" w:rsidP="007245DC">
      <w:pPr>
        <w:autoSpaceDE w:val="0"/>
        <w:autoSpaceDN w:val="0"/>
        <w:adjustRightInd w:val="0"/>
        <w:spacing w:after="0" w:line="400" w:lineRule="atLeast"/>
        <w:rPr>
          <w:rFonts w:ascii="Times New Roman" w:hAnsi="Times New Roman" w:cs="Times New Roman"/>
          <w:sz w:val="24"/>
          <w:szCs w:val="24"/>
        </w:rPr>
      </w:pPr>
    </w:p>
    <w:p w14:paraId="21804AE6" w14:textId="77777777" w:rsidR="007245DC" w:rsidRDefault="007245DC" w:rsidP="001C0A52">
      <w:pPr>
        <w:autoSpaceDE w:val="0"/>
        <w:autoSpaceDN w:val="0"/>
        <w:adjustRightInd w:val="0"/>
        <w:spacing w:after="0" w:line="400" w:lineRule="atLeast"/>
        <w:rPr>
          <w:rFonts w:ascii="Times New Roman" w:hAnsi="Times New Roman" w:cs="Times New Roman"/>
          <w:sz w:val="24"/>
          <w:szCs w:val="24"/>
        </w:rPr>
      </w:pPr>
    </w:p>
    <w:p w14:paraId="64A574D2" w14:textId="77777777" w:rsidR="001C0A52" w:rsidRDefault="001C0A52">
      <w:pPr>
        <w:rPr>
          <w:rFonts w:ascii="Times New Roman" w:hAnsi="Times New Roman" w:cs="Times New Roman"/>
          <w:b/>
          <w:sz w:val="24"/>
          <w:szCs w:val="24"/>
        </w:rPr>
      </w:pPr>
      <w:r>
        <w:rPr>
          <w:rFonts w:ascii="Times New Roman" w:hAnsi="Times New Roman" w:cs="Times New Roman"/>
          <w:b/>
          <w:sz w:val="24"/>
          <w:szCs w:val="24"/>
        </w:rPr>
        <w:br w:type="page"/>
      </w:r>
    </w:p>
    <w:p w14:paraId="75461A2D" w14:textId="0BAC1B71"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5E636101" w14:textId="08EFD554"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73D7B1A8" w14:textId="1236EB19" w:rsidR="003F0BC0" w:rsidRDefault="003F0BC0"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Bayesian Survival Analysis (BSA)</w:t>
      </w:r>
    </w:p>
    <w:p w14:paraId="53C34362" w14:textId="71864270" w:rsidR="002C4E87" w:rsidRDefault="002C4E87" w:rsidP="00664E2F">
      <w:pPr>
        <w:spacing w:line="360" w:lineRule="auto"/>
        <w:rPr>
          <w:rFonts w:ascii="Times New Roman" w:eastAsia="Times New Roman" w:hAnsi="Times New Roman" w:cs="Times New Roman"/>
          <w:color w:val="000000"/>
          <w:sz w:val="24"/>
          <w:szCs w:val="24"/>
        </w:rPr>
      </w:pPr>
      <w:proofErr w:type="gramStart"/>
      <w:r>
        <w:rPr>
          <w:rFonts w:ascii="Times New Roman" w:hAnsi="Times New Roman" w:cs="Times New Roman"/>
          <w:sz w:val="24"/>
          <w:szCs w:val="24"/>
        </w:rPr>
        <w:t>Beta(</w:t>
      </w:r>
      <w:proofErr w:type="gramEnd"/>
      <w:r>
        <w:rPr>
          <w:rFonts w:ascii="Times New Roman" w:hAnsi="Times New Roman" w:cs="Times New Roman"/>
          <w:sz w:val="24"/>
          <w:szCs w:val="24"/>
        </w:rPr>
        <w:t>1-0)galactosyltransferase Gene (COLGALT)</w:t>
      </w:r>
    </w:p>
    <w:p w14:paraId="4366DAF8" w14:textId="3AE21B45"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305ACE2A" w14:textId="77777777" w:rsidR="001E2CD3" w:rsidRPr="00664E2F" w:rsidRDefault="001E2CD3" w:rsidP="001E2CD3">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Clustered regularly interspaced short palindromic repeats (CRISPR)</w:t>
      </w:r>
    </w:p>
    <w:p w14:paraId="1FF6CEA7" w14:textId="2FE9D59F" w:rsidR="001B15B1" w:rsidRDefault="001B15B1" w:rsidP="00664E2F">
      <w:pPr>
        <w:spacing w:line="360" w:lineRule="auto"/>
        <w:rPr>
          <w:rFonts w:ascii="Times New Roman" w:hAnsi="Times New Roman" w:cs="Times New Roman"/>
          <w:sz w:val="24"/>
          <w:szCs w:val="24"/>
        </w:rPr>
      </w:pPr>
      <w:r>
        <w:rPr>
          <w:rFonts w:ascii="Times New Roman" w:hAnsi="Times New Roman" w:cs="Times New Roman"/>
          <w:sz w:val="24"/>
          <w:szCs w:val="24"/>
        </w:rPr>
        <w:t>Collagen-like Gene (COLEC)</w:t>
      </w:r>
    </w:p>
    <w:p w14:paraId="38B50888" w14:textId="6E9C44F6" w:rsidR="0059335B" w:rsidRDefault="0059335B"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Collagen-like subunit of acetylcholinesterase (COLQ) </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124FB8DB"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41883FA3" w14:textId="7E3AF508" w:rsidR="001B15B1" w:rsidRDefault="001B15B1" w:rsidP="001B15B1">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18C978E3"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42F5E7B" w14:textId="78B03681" w:rsidR="005379B2" w:rsidRDefault="005379B2" w:rsidP="00664E2F">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Genome Reference Consortium Human Build 37 (GRCh37) (HG19)</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128DCEE3"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5468925" w14:textId="47FB11AD" w:rsidR="00CB4D82" w:rsidRDefault="00CB4D8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Log Minutes Log (LML)</w:t>
      </w:r>
    </w:p>
    <w:p w14:paraId="6976F3DD" w14:textId="60F926CD"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51527511" w14:textId="2CD150D3" w:rsidR="00435508" w:rsidRDefault="00435508"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Next Generation Sequencing (NGS)</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7C0E76F7"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Ovarian Cancer (OV)</w:t>
      </w:r>
    </w:p>
    <w:p w14:paraId="75A13118" w14:textId="0A797997"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713A400A" w14:textId="11323C97" w:rsidR="0059335B" w:rsidRDefault="0059335B" w:rsidP="008D2B7E">
      <w:pPr>
        <w:spacing w:line="360" w:lineRule="auto"/>
        <w:rPr>
          <w:rFonts w:ascii="Times New Roman" w:hAnsi="Times New Roman" w:cs="Times New Roman"/>
          <w:bCs/>
          <w:sz w:val="24"/>
          <w:szCs w:val="24"/>
        </w:rPr>
      </w:pPr>
      <w:r>
        <w:rPr>
          <w:rFonts w:ascii="Times New Roman" w:hAnsi="Times New Roman" w:cs="Times New Roman"/>
          <w:sz w:val="24"/>
          <w:szCs w:val="24"/>
        </w:rPr>
        <w:t>Pro-collagen enhancer gene (PCOLCE)</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7C310420" w:rsidR="0093431E" w:rsidRDefault="0093431E" w:rsidP="008D2B7E">
      <w:pPr>
        <w:spacing w:line="360" w:lineRule="auto"/>
        <w:rPr>
          <w:rFonts w:ascii="Times New Roman" w:hAnsi="Times New Roman" w:cs="Times New Roman"/>
          <w:sz w:val="24"/>
          <w:szCs w:val="24"/>
        </w:rPr>
      </w:pPr>
      <w:r>
        <w:rPr>
          <w:rFonts w:ascii="Times New Roman" w:hAnsi="Times New Roman" w:cs="Times New Roman"/>
          <w:sz w:val="24"/>
          <w:szCs w:val="24"/>
        </w:rPr>
        <w:t>Ribonucleic Acid (RNA)</w:t>
      </w:r>
    </w:p>
    <w:p w14:paraId="7F783509" w14:textId="2E071E09" w:rsidR="00850A6C" w:rsidRDefault="00850A6C"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Risk Ratio (RR)</w:t>
      </w:r>
    </w:p>
    <w:p w14:paraId="4FFC64E9" w14:textId="10EBDC9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437A53F6" w14:textId="365CA93C" w:rsidR="00AD5E83" w:rsidRDefault="00AD5E83" w:rsidP="00664E2F">
      <w:pPr>
        <w:spacing w:line="360" w:lineRule="auto"/>
        <w:rPr>
          <w:rFonts w:ascii="Times New Roman" w:hAnsi="Times New Roman" w:cs="Times New Roman"/>
          <w:bCs/>
          <w:sz w:val="24"/>
          <w:szCs w:val="24"/>
        </w:rPr>
      </w:pPr>
      <w:r>
        <w:rPr>
          <w:rFonts w:ascii="Times New Roman" w:hAnsi="Times New Roman" w:cs="Times New Roman"/>
          <w:sz w:val="24"/>
          <w:szCs w:val="24"/>
        </w:rPr>
        <w:t>The Office of The National Coordinator for Health Information Technology (ONC)</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9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1FD9" w14:textId="77777777" w:rsidR="009E4F1C" w:rsidRDefault="009E4F1C">
      <w:pPr>
        <w:spacing w:after="0" w:line="240" w:lineRule="auto"/>
      </w:pPr>
      <w:r>
        <w:separator/>
      </w:r>
    </w:p>
  </w:endnote>
  <w:endnote w:type="continuationSeparator" w:id="0">
    <w:p w14:paraId="0E0A512B" w14:textId="77777777" w:rsidR="009E4F1C" w:rsidRDefault="009E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B762" w14:textId="77777777" w:rsidR="0025013A" w:rsidRPr="0025013A" w:rsidRDefault="0025013A">
    <w:pPr>
      <w:pStyle w:val="Footer"/>
      <w:tabs>
        <w:tab w:val="clear" w:pos="4680"/>
        <w:tab w:val="clear" w:pos="9360"/>
      </w:tabs>
      <w:jc w:val="center"/>
      <w:rPr>
        <w:caps/>
        <w:noProof/>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4F186A5" w14:textId="20612EBD"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BBF88" w14:textId="77777777" w:rsidR="009E4F1C" w:rsidRDefault="009E4F1C">
      <w:pPr>
        <w:spacing w:after="0" w:line="240" w:lineRule="auto"/>
      </w:pPr>
      <w:r>
        <w:separator/>
      </w:r>
    </w:p>
  </w:footnote>
  <w:footnote w:type="continuationSeparator" w:id="0">
    <w:p w14:paraId="0AB543FB" w14:textId="77777777" w:rsidR="009E4F1C" w:rsidRDefault="009E4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11032"/>
    <w:multiLevelType w:val="hybridMultilevel"/>
    <w:tmpl w:val="25C8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05D9"/>
    <w:rsid w:val="00002AF1"/>
    <w:rsid w:val="00002B1B"/>
    <w:rsid w:val="00004E37"/>
    <w:rsid w:val="00004FBC"/>
    <w:rsid w:val="00005E52"/>
    <w:rsid w:val="0000651A"/>
    <w:rsid w:val="00012169"/>
    <w:rsid w:val="00012CD1"/>
    <w:rsid w:val="00017455"/>
    <w:rsid w:val="0002238F"/>
    <w:rsid w:val="000228F4"/>
    <w:rsid w:val="00022BF4"/>
    <w:rsid w:val="0002339A"/>
    <w:rsid w:val="000239BE"/>
    <w:rsid w:val="00024A20"/>
    <w:rsid w:val="000253C3"/>
    <w:rsid w:val="00025BA4"/>
    <w:rsid w:val="00027279"/>
    <w:rsid w:val="000329B2"/>
    <w:rsid w:val="00034625"/>
    <w:rsid w:val="00036CDD"/>
    <w:rsid w:val="00037C80"/>
    <w:rsid w:val="00041EB0"/>
    <w:rsid w:val="00041F48"/>
    <w:rsid w:val="0004285E"/>
    <w:rsid w:val="000432D9"/>
    <w:rsid w:val="00044FCC"/>
    <w:rsid w:val="00050ED1"/>
    <w:rsid w:val="00052110"/>
    <w:rsid w:val="000532B0"/>
    <w:rsid w:val="00054D97"/>
    <w:rsid w:val="000554B6"/>
    <w:rsid w:val="000631FD"/>
    <w:rsid w:val="000666B3"/>
    <w:rsid w:val="000736A5"/>
    <w:rsid w:val="0007678B"/>
    <w:rsid w:val="00081167"/>
    <w:rsid w:val="00085CF7"/>
    <w:rsid w:val="0008637D"/>
    <w:rsid w:val="00091474"/>
    <w:rsid w:val="00093C51"/>
    <w:rsid w:val="00097473"/>
    <w:rsid w:val="000A0E55"/>
    <w:rsid w:val="000A2206"/>
    <w:rsid w:val="000A2CAE"/>
    <w:rsid w:val="000A3A37"/>
    <w:rsid w:val="000A3CBB"/>
    <w:rsid w:val="000A584F"/>
    <w:rsid w:val="000A650A"/>
    <w:rsid w:val="000B1C9B"/>
    <w:rsid w:val="000B2150"/>
    <w:rsid w:val="000B3380"/>
    <w:rsid w:val="000B4DD5"/>
    <w:rsid w:val="000B5366"/>
    <w:rsid w:val="000B57B7"/>
    <w:rsid w:val="000B5F8C"/>
    <w:rsid w:val="000B6977"/>
    <w:rsid w:val="000C008D"/>
    <w:rsid w:val="000C0C84"/>
    <w:rsid w:val="000C0DB5"/>
    <w:rsid w:val="000C1B63"/>
    <w:rsid w:val="000C2097"/>
    <w:rsid w:val="000C377E"/>
    <w:rsid w:val="000C4535"/>
    <w:rsid w:val="000C68DA"/>
    <w:rsid w:val="000C714D"/>
    <w:rsid w:val="000C7610"/>
    <w:rsid w:val="000D03AF"/>
    <w:rsid w:val="000D0880"/>
    <w:rsid w:val="000D1046"/>
    <w:rsid w:val="000D3FF7"/>
    <w:rsid w:val="000D46FE"/>
    <w:rsid w:val="000E0ED5"/>
    <w:rsid w:val="000E3D65"/>
    <w:rsid w:val="000E4FCC"/>
    <w:rsid w:val="000E64A3"/>
    <w:rsid w:val="000E74EA"/>
    <w:rsid w:val="000F2A1C"/>
    <w:rsid w:val="001002B7"/>
    <w:rsid w:val="00103DF3"/>
    <w:rsid w:val="00104BCF"/>
    <w:rsid w:val="00105924"/>
    <w:rsid w:val="00110761"/>
    <w:rsid w:val="001107CF"/>
    <w:rsid w:val="00111199"/>
    <w:rsid w:val="001111FB"/>
    <w:rsid w:val="00113DB7"/>
    <w:rsid w:val="00114ACF"/>
    <w:rsid w:val="001154DC"/>
    <w:rsid w:val="00115AED"/>
    <w:rsid w:val="001179BF"/>
    <w:rsid w:val="001219F9"/>
    <w:rsid w:val="001223D7"/>
    <w:rsid w:val="0012251A"/>
    <w:rsid w:val="00122DDE"/>
    <w:rsid w:val="00122FC1"/>
    <w:rsid w:val="0012453D"/>
    <w:rsid w:val="0012658E"/>
    <w:rsid w:val="00126E81"/>
    <w:rsid w:val="001302D8"/>
    <w:rsid w:val="001302F3"/>
    <w:rsid w:val="001331E4"/>
    <w:rsid w:val="00134061"/>
    <w:rsid w:val="001350E2"/>
    <w:rsid w:val="00137960"/>
    <w:rsid w:val="001420A4"/>
    <w:rsid w:val="00145B1C"/>
    <w:rsid w:val="00145FF7"/>
    <w:rsid w:val="001500DE"/>
    <w:rsid w:val="00155331"/>
    <w:rsid w:val="001577F9"/>
    <w:rsid w:val="00161F00"/>
    <w:rsid w:val="00162857"/>
    <w:rsid w:val="00163C85"/>
    <w:rsid w:val="001643BC"/>
    <w:rsid w:val="001646BE"/>
    <w:rsid w:val="00165147"/>
    <w:rsid w:val="00166B67"/>
    <w:rsid w:val="00167D31"/>
    <w:rsid w:val="00170BA5"/>
    <w:rsid w:val="00180782"/>
    <w:rsid w:val="001808D8"/>
    <w:rsid w:val="001853AF"/>
    <w:rsid w:val="00186137"/>
    <w:rsid w:val="00187183"/>
    <w:rsid w:val="00187BB6"/>
    <w:rsid w:val="001915F3"/>
    <w:rsid w:val="00191B29"/>
    <w:rsid w:val="00191DC8"/>
    <w:rsid w:val="00192832"/>
    <w:rsid w:val="001930BE"/>
    <w:rsid w:val="00193971"/>
    <w:rsid w:val="00193A3B"/>
    <w:rsid w:val="00197D31"/>
    <w:rsid w:val="001A203A"/>
    <w:rsid w:val="001A3DC0"/>
    <w:rsid w:val="001A4553"/>
    <w:rsid w:val="001A52C8"/>
    <w:rsid w:val="001A5C47"/>
    <w:rsid w:val="001A7C1E"/>
    <w:rsid w:val="001B01D4"/>
    <w:rsid w:val="001B11BF"/>
    <w:rsid w:val="001B15B1"/>
    <w:rsid w:val="001B1D54"/>
    <w:rsid w:val="001B3443"/>
    <w:rsid w:val="001B4018"/>
    <w:rsid w:val="001B7CCF"/>
    <w:rsid w:val="001C08C5"/>
    <w:rsid w:val="001C0A52"/>
    <w:rsid w:val="001C1FD9"/>
    <w:rsid w:val="001C7C65"/>
    <w:rsid w:val="001D2249"/>
    <w:rsid w:val="001D3360"/>
    <w:rsid w:val="001D344F"/>
    <w:rsid w:val="001D3680"/>
    <w:rsid w:val="001D7CBE"/>
    <w:rsid w:val="001E00BF"/>
    <w:rsid w:val="001E01D6"/>
    <w:rsid w:val="001E0390"/>
    <w:rsid w:val="001E0DB5"/>
    <w:rsid w:val="001E139E"/>
    <w:rsid w:val="001E21CC"/>
    <w:rsid w:val="001E25ED"/>
    <w:rsid w:val="001E2CD3"/>
    <w:rsid w:val="001E35CC"/>
    <w:rsid w:val="001E6E2D"/>
    <w:rsid w:val="001F0D31"/>
    <w:rsid w:val="001F36AE"/>
    <w:rsid w:val="001F577B"/>
    <w:rsid w:val="002009F2"/>
    <w:rsid w:val="002013B8"/>
    <w:rsid w:val="002022F7"/>
    <w:rsid w:val="00206D0B"/>
    <w:rsid w:val="00207662"/>
    <w:rsid w:val="00207CA8"/>
    <w:rsid w:val="0021032B"/>
    <w:rsid w:val="00211DE1"/>
    <w:rsid w:val="002145C5"/>
    <w:rsid w:val="0021543C"/>
    <w:rsid w:val="002207DD"/>
    <w:rsid w:val="002217E5"/>
    <w:rsid w:val="0023114E"/>
    <w:rsid w:val="00231CAE"/>
    <w:rsid w:val="002417DC"/>
    <w:rsid w:val="00241C22"/>
    <w:rsid w:val="002421B5"/>
    <w:rsid w:val="002429E7"/>
    <w:rsid w:val="00242AEC"/>
    <w:rsid w:val="00242DB4"/>
    <w:rsid w:val="00243AA9"/>
    <w:rsid w:val="00245780"/>
    <w:rsid w:val="00245FED"/>
    <w:rsid w:val="00247C2E"/>
    <w:rsid w:val="0025013A"/>
    <w:rsid w:val="00253616"/>
    <w:rsid w:val="002552A3"/>
    <w:rsid w:val="00255EFB"/>
    <w:rsid w:val="00261640"/>
    <w:rsid w:val="002646AA"/>
    <w:rsid w:val="002648B7"/>
    <w:rsid w:val="0026658D"/>
    <w:rsid w:val="0027322F"/>
    <w:rsid w:val="0027513B"/>
    <w:rsid w:val="00276E3D"/>
    <w:rsid w:val="00280404"/>
    <w:rsid w:val="00281EDA"/>
    <w:rsid w:val="002838FC"/>
    <w:rsid w:val="00283B4E"/>
    <w:rsid w:val="00284592"/>
    <w:rsid w:val="00284EBD"/>
    <w:rsid w:val="00287EB2"/>
    <w:rsid w:val="0029059A"/>
    <w:rsid w:val="00290CB0"/>
    <w:rsid w:val="00293882"/>
    <w:rsid w:val="0029442B"/>
    <w:rsid w:val="0029659B"/>
    <w:rsid w:val="00296722"/>
    <w:rsid w:val="0029699B"/>
    <w:rsid w:val="0029762D"/>
    <w:rsid w:val="002A2E2D"/>
    <w:rsid w:val="002A6BF6"/>
    <w:rsid w:val="002A7648"/>
    <w:rsid w:val="002B03E0"/>
    <w:rsid w:val="002B24B4"/>
    <w:rsid w:val="002B3B1A"/>
    <w:rsid w:val="002C06B5"/>
    <w:rsid w:val="002C247C"/>
    <w:rsid w:val="002C4691"/>
    <w:rsid w:val="002C4E87"/>
    <w:rsid w:val="002C50A8"/>
    <w:rsid w:val="002D2C4E"/>
    <w:rsid w:val="002D30F8"/>
    <w:rsid w:val="002D3E93"/>
    <w:rsid w:val="002D4A28"/>
    <w:rsid w:val="002D5A96"/>
    <w:rsid w:val="002D6930"/>
    <w:rsid w:val="002D7F85"/>
    <w:rsid w:val="002E0725"/>
    <w:rsid w:val="002E2091"/>
    <w:rsid w:val="002E2163"/>
    <w:rsid w:val="002E24DD"/>
    <w:rsid w:val="002E45C7"/>
    <w:rsid w:val="002E5419"/>
    <w:rsid w:val="002E62B8"/>
    <w:rsid w:val="002F0AA6"/>
    <w:rsid w:val="002F2255"/>
    <w:rsid w:val="002F243B"/>
    <w:rsid w:val="002F3DC9"/>
    <w:rsid w:val="002F6C9B"/>
    <w:rsid w:val="00301D10"/>
    <w:rsid w:val="0030237A"/>
    <w:rsid w:val="00302CDB"/>
    <w:rsid w:val="00304313"/>
    <w:rsid w:val="00304767"/>
    <w:rsid w:val="003103AC"/>
    <w:rsid w:val="00311429"/>
    <w:rsid w:val="00311D2F"/>
    <w:rsid w:val="0031354D"/>
    <w:rsid w:val="003154ED"/>
    <w:rsid w:val="00316DAE"/>
    <w:rsid w:val="0032713D"/>
    <w:rsid w:val="00331892"/>
    <w:rsid w:val="00333154"/>
    <w:rsid w:val="0033407A"/>
    <w:rsid w:val="003362D4"/>
    <w:rsid w:val="00336C64"/>
    <w:rsid w:val="00336DAA"/>
    <w:rsid w:val="003409FF"/>
    <w:rsid w:val="00344602"/>
    <w:rsid w:val="00344B76"/>
    <w:rsid w:val="003451F7"/>
    <w:rsid w:val="0035062B"/>
    <w:rsid w:val="0035181F"/>
    <w:rsid w:val="00351CE5"/>
    <w:rsid w:val="003524ED"/>
    <w:rsid w:val="00352F89"/>
    <w:rsid w:val="00353DBA"/>
    <w:rsid w:val="00355277"/>
    <w:rsid w:val="00356C07"/>
    <w:rsid w:val="00360B38"/>
    <w:rsid w:val="00361BA8"/>
    <w:rsid w:val="00362FCE"/>
    <w:rsid w:val="00364E21"/>
    <w:rsid w:val="003651A9"/>
    <w:rsid w:val="003658B5"/>
    <w:rsid w:val="003674A8"/>
    <w:rsid w:val="00374EAA"/>
    <w:rsid w:val="00375B85"/>
    <w:rsid w:val="003769AC"/>
    <w:rsid w:val="00376BD2"/>
    <w:rsid w:val="00377959"/>
    <w:rsid w:val="0038002F"/>
    <w:rsid w:val="0038070F"/>
    <w:rsid w:val="00380A12"/>
    <w:rsid w:val="003844DD"/>
    <w:rsid w:val="00384830"/>
    <w:rsid w:val="0038778F"/>
    <w:rsid w:val="0039173D"/>
    <w:rsid w:val="003936C8"/>
    <w:rsid w:val="003962ED"/>
    <w:rsid w:val="003970B1"/>
    <w:rsid w:val="00397AAF"/>
    <w:rsid w:val="003A01E1"/>
    <w:rsid w:val="003A1879"/>
    <w:rsid w:val="003A40F0"/>
    <w:rsid w:val="003A487E"/>
    <w:rsid w:val="003A5193"/>
    <w:rsid w:val="003B025B"/>
    <w:rsid w:val="003B12F3"/>
    <w:rsid w:val="003B134B"/>
    <w:rsid w:val="003B1CC8"/>
    <w:rsid w:val="003B29E5"/>
    <w:rsid w:val="003B2CC1"/>
    <w:rsid w:val="003B2D33"/>
    <w:rsid w:val="003B75D4"/>
    <w:rsid w:val="003C14AF"/>
    <w:rsid w:val="003C178D"/>
    <w:rsid w:val="003C1A36"/>
    <w:rsid w:val="003C2407"/>
    <w:rsid w:val="003C626D"/>
    <w:rsid w:val="003C6EF0"/>
    <w:rsid w:val="003D11E8"/>
    <w:rsid w:val="003D163D"/>
    <w:rsid w:val="003E04C9"/>
    <w:rsid w:val="003E1E2B"/>
    <w:rsid w:val="003E276F"/>
    <w:rsid w:val="003E28B4"/>
    <w:rsid w:val="003E42BC"/>
    <w:rsid w:val="003E4423"/>
    <w:rsid w:val="003E6BAC"/>
    <w:rsid w:val="003E6D97"/>
    <w:rsid w:val="003E725E"/>
    <w:rsid w:val="003F057D"/>
    <w:rsid w:val="003F0BC0"/>
    <w:rsid w:val="003F19F6"/>
    <w:rsid w:val="003F1A23"/>
    <w:rsid w:val="003F2E4E"/>
    <w:rsid w:val="003F4432"/>
    <w:rsid w:val="003F5EB9"/>
    <w:rsid w:val="003F7EC8"/>
    <w:rsid w:val="0040061A"/>
    <w:rsid w:val="00400634"/>
    <w:rsid w:val="004033C0"/>
    <w:rsid w:val="00403CAF"/>
    <w:rsid w:val="00404B5C"/>
    <w:rsid w:val="00404B71"/>
    <w:rsid w:val="00405182"/>
    <w:rsid w:val="00407462"/>
    <w:rsid w:val="0041077E"/>
    <w:rsid w:val="00412876"/>
    <w:rsid w:val="00412909"/>
    <w:rsid w:val="00412D66"/>
    <w:rsid w:val="0041310E"/>
    <w:rsid w:val="00414350"/>
    <w:rsid w:val="00414C27"/>
    <w:rsid w:val="00420133"/>
    <w:rsid w:val="00420760"/>
    <w:rsid w:val="00422780"/>
    <w:rsid w:val="004229B0"/>
    <w:rsid w:val="00423318"/>
    <w:rsid w:val="00424013"/>
    <w:rsid w:val="00431616"/>
    <w:rsid w:val="0043385D"/>
    <w:rsid w:val="00435508"/>
    <w:rsid w:val="0044024C"/>
    <w:rsid w:val="00440800"/>
    <w:rsid w:val="00441C3E"/>
    <w:rsid w:val="00442752"/>
    <w:rsid w:val="0044305E"/>
    <w:rsid w:val="00443F13"/>
    <w:rsid w:val="00445864"/>
    <w:rsid w:val="00445F24"/>
    <w:rsid w:val="004475D4"/>
    <w:rsid w:val="00453067"/>
    <w:rsid w:val="00453F71"/>
    <w:rsid w:val="004562D7"/>
    <w:rsid w:val="00457580"/>
    <w:rsid w:val="00462327"/>
    <w:rsid w:val="00462785"/>
    <w:rsid w:val="00463C08"/>
    <w:rsid w:val="004641FC"/>
    <w:rsid w:val="00464402"/>
    <w:rsid w:val="0046547B"/>
    <w:rsid w:val="00467133"/>
    <w:rsid w:val="004672DF"/>
    <w:rsid w:val="004673E6"/>
    <w:rsid w:val="0047046F"/>
    <w:rsid w:val="00472977"/>
    <w:rsid w:val="00473E6F"/>
    <w:rsid w:val="00474505"/>
    <w:rsid w:val="00474930"/>
    <w:rsid w:val="00475A64"/>
    <w:rsid w:val="00477346"/>
    <w:rsid w:val="004777B6"/>
    <w:rsid w:val="004807E7"/>
    <w:rsid w:val="004816AD"/>
    <w:rsid w:val="00482B5B"/>
    <w:rsid w:val="00483090"/>
    <w:rsid w:val="00483278"/>
    <w:rsid w:val="00485108"/>
    <w:rsid w:val="00490D82"/>
    <w:rsid w:val="00493FC1"/>
    <w:rsid w:val="0049486C"/>
    <w:rsid w:val="00494F58"/>
    <w:rsid w:val="004A383C"/>
    <w:rsid w:val="004A5297"/>
    <w:rsid w:val="004A53E0"/>
    <w:rsid w:val="004A6899"/>
    <w:rsid w:val="004A7A3E"/>
    <w:rsid w:val="004B0A84"/>
    <w:rsid w:val="004B1F82"/>
    <w:rsid w:val="004B327C"/>
    <w:rsid w:val="004B34E0"/>
    <w:rsid w:val="004B6186"/>
    <w:rsid w:val="004B79ED"/>
    <w:rsid w:val="004C0440"/>
    <w:rsid w:val="004C0F0D"/>
    <w:rsid w:val="004C162B"/>
    <w:rsid w:val="004C274C"/>
    <w:rsid w:val="004C338C"/>
    <w:rsid w:val="004C3D74"/>
    <w:rsid w:val="004C4256"/>
    <w:rsid w:val="004C5BBF"/>
    <w:rsid w:val="004C71EE"/>
    <w:rsid w:val="004D0A29"/>
    <w:rsid w:val="004D19DB"/>
    <w:rsid w:val="004D19F1"/>
    <w:rsid w:val="004D22B2"/>
    <w:rsid w:val="004D4239"/>
    <w:rsid w:val="004D7345"/>
    <w:rsid w:val="004E2FE1"/>
    <w:rsid w:val="004E42A5"/>
    <w:rsid w:val="004E474C"/>
    <w:rsid w:val="004E5A3C"/>
    <w:rsid w:val="004E6240"/>
    <w:rsid w:val="004E64CE"/>
    <w:rsid w:val="004E6CF0"/>
    <w:rsid w:val="004E6E7C"/>
    <w:rsid w:val="004E7228"/>
    <w:rsid w:val="004E7612"/>
    <w:rsid w:val="004F2DF2"/>
    <w:rsid w:val="004F4AFA"/>
    <w:rsid w:val="004F4F30"/>
    <w:rsid w:val="004F6958"/>
    <w:rsid w:val="00502BB4"/>
    <w:rsid w:val="00504AD7"/>
    <w:rsid w:val="0050501B"/>
    <w:rsid w:val="00505C31"/>
    <w:rsid w:val="0050642D"/>
    <w:rsid w:val="00506B0A"/>
    <w:rsid w:val="005104A2"/>
    <w:rsid w:val="00510559"/>
    <w:rsid w:val="00511910"/>
    <w:rsid w:val="005121E3"/>
    <w:rsid w:val="00512A92"/>
    <w:rsid w:val="00513071"/>
    <w:rsid w:val="00514F77"/>
    <w:rsid w:val="005158FB"/>
    <w:rsid w:val="00520851"/>
    <w:rsid w:val="00521FC2"/>
    <w:rsid w:val="00523716"/>
    <w:rsid w:val="0052441A"/>
    <w:rsid w:val="00524DB1"/>
    <w:rsid w:val="00530503"/>
    <w:rsid w:val="005305DE"/>
    <w:rsid w:val="00532AAE"/>
    <w:rsid w:val="00532D94"/>
    <w:rsid w:val="005349C4"/>
    <w:rsid w:val="00535AED"/>
    <w:rsid w:val="005372C3"/>
    <w:rsid w:val="005379B2"/>
    <w:rsid w:val="00537A5B"/>
    <w:rsid w:val="00537CC3"/>
    <w:rsid w:val="00537DBC"/>
    <w:rsid w:val="00540158"/>
    <w:rsid w:val="005506A8"/>
    <w:rsid w:val="00550845"/>
    <w:rsid w:val="0055300A"/>
    <w:rsid w:val="00554F34"/>
    <w:rsid w:val="0056141F"/>
    <w:rsid w:val="00563DDD"/>
    <w:rsid w:val="00563FD4"/>
    <w:rsid w:val="0056424D"/>
    <w:rsid w:val="00566998"/>
    <w:rsid w:val="00566C26"/>
    <w:rsid w:val="0056749D"/>
    <w:rsid w:val="0057492C"/>
    <w:rsid w:val="00576072"/>
    <w:rsid w:val="005764D7"/>
    <w:rsid w:val="0057780B"/>
    <w:rsid w:val="00577CF0"/>
    <w:rsid w:val="00577FDE"/>
    <w:rsid w:val="0058000E"/>
    <w:rsid w:val="0058115D"/>
    <w:rsid w:val="0058208E"/>
    <w:rsid w:val="00582104"/>
    <w:rsid w:val="005831E8"/>
    <w:rsid w:val="005839B4"/>
    <w:rsid w:val="005849FB"/>
    <w:rsid w:val="00584E0C"/>
    <w:rsid w:val="005854C3"/>
    <w:rsid w:val="00590C65"/>
    <w:rsid w:val="00591481"/>
    <w:rsid w:val="00591C1C"/>
    <w:rsid w:val="0059335B"/>
    <w:rsid w:val="005963D1"/>
    <w:rsid w:val="0059667D"/>
    <w:rsid w:val="005A0F14"/>
    <w:rsid w:val="005A3A39"/>
    <w:rsid w:val="005A4DB6"/>
    <w:rsid w:val="005A5563"/>
    <w:rsid w:val="005A5CF3"/>
    <w:rsid w:val="005A5DC7"/>
    <w:rsid w:val="005A69FC"/>
    <w:rsid w:val="005B001B"/>
    <w:rsid w:val="005B0731"/>
    <w:rsid w:val="005B0FD7"/>
    <w:rsid w:val="005B34FC"/>
    <w:rsid w:val="005B48F3"/>
    <w:rsid w:val="005B53FD"/>
    <w:rsid w:val="005B79A1"/>
    <w:rsid w:val="005C0DC1"/>
    <w:rsid w:val="005C2EC7"/>
    <w:rsid w:val="005C3BD3"/>
    <w:rsid w:val="005C4FE9"/>
    <w:rsid w:val="005D5DC8"/>
    <w:rsid w:val="005D6343"/>
    <w:rsid w:val="005D6638"/>
    <w:rsid w:val="005D6ADA"/>
    <w:rsid w:val="005D6E04"/>
    <w:rsid w:val="005E0FBA"/>
    <w:rsid w:val="005E36EE"/>
    <w:rsid w:val="005E3FEF"/>
    <w:rsid w:val="005E7804"/>
    <w:rsid w:val="005E7CEF"/>
    <w:rsid w:val="005F018D"/>
    <w:rsid w:val="005F0CF3"/>
    <w:rsid w:val="005F606A"/>
    <w:rsid w:val="005F6C22"/>
    <w:rsid w:val="0060078F"/>
    <w:rsid w:val="0060175D"/>
    <w:rsid w:val="00601FD0"/>
    <w:rsid w:val="006028CA"/>
    <w:rsid w:val="006030F8"/>
    <w:rsid w:val="00604DA7"/>
    <w:rsid w:val="00606CE8"/>
    <w:rsid w:val="00607605"/>
    <w:rsid w:val="0061057A"/>
    <w:rsid w:val="006167B2"/>
    <w:rsid w:val="0061747E"/>
    <w:rsid w:val="00620D67"/>
    <w:rsid w:val="006278C7"/>
    <w:rsid w:val="00630A7B"/>
    <w:rsid w:val="00630C67"/>
    <w:rsid w:val="00631193"/>
    <w:rsid w:val="006315FB"/>
    <w:rsid w:val="00632163"/>
    <w:rsid w:val="00634798"/>
    <w:rsid w:val="006404D4"/>
    <w:rsid w:val="006416C3"/>
    <w:rsid w:val="006419F9"/>
    <w:rsid w:val="00642A01"/>
    <w:rsid w:val="00643439"/>
    <w:rsid w:val="006440BD"/>
    <w:rsid w:val="006462C1"/>
    <w:rsid w:val="00646509"/>
    <w:rsid w:val="00650AED"/>
    <w:rsid w:val="006554F1"/>
    <w:rsid w:val="006555C3"/>
    <w:rsid w:val="006568FF"/>
    <w:rsid w:val="00660667"/>
    <w:rsid w:val="006608F4"/>
    <w:rsid w:val="00661C19"/>
    <w:rsid w:val="00662AED"/>
    <w:rsid w:val="00662C7A"/>
    <w:rsid w:val="00662FB1"/>
    <w:rsid w:val="006636CE"/>
    <w:rsid w:val="00664E2F"/>
    <w:rsid w:val="00665BAF"/>
    <w:rsid w:val="006662CD"/>
    <w:rsid w:val="00666E27"/>
    <w:rsid w:val="006717C3"/>
    <w:rsid w:val="00673F74"/>
    <w:rsid w:val="00675B35"/>
    <w:rsid w:val="00677011"/>
    <w:rsid w:val="0067730C"/>
    <w:rsid w:val="006801C0"/>
    <w:rsid w:val="006847FC"/>
    <w:rsid w:val="006857D3"/>
    <w:rsid w:val="006862CF"/>
    <w:rsid w:val="00690FF1"/>
    <w:rsid w:val="00692041"/>
    <w:rsid w:val="0069224B"/>
    <w:rsid w:val="0069347F"/>
    <w:rsid w:val="006936A4"/>
    <w:rsid w:val="00693B8C"/>
    <w:rsid w:val="0069661A"/>
    <w:rsid w:val="006A2F30"/>
    <w:rsid w:val="006A2FAD"/>
    <w:rsid w:val="006A2FB0"/>
    <w:rsid w:val="006A60E5"/>
    <w:rsid w:val="006A665A"/>
    <w:rsid w:val="006A7CD5"/>
    <w:rsid w:val="006B1569"/>
    <w:rsid w:val="006B2AD1"/>
    <w:rsid w:val="006B4311"/>
    <w:rsid w:val="006C645A"/>
    <w:rsid w:val="006D22A3"/>
    <w:rsid w:val="006D7BF7"/>
    <w:rsid w:val="006E0284"/>
    <w:rsid w:val="006E1B74"/>
    <w:rsid w:val="006E25D2"/>
    <w:rsid w:val="006E298F"/>
    <w:rsid w:val="006E336E"/>
    <w:rsid w:val="006E507A"/>
    <w:rsid w:val="006E510E"/>
    <w:rsid w:val="006E5535"/>
    <w:rsid w:val="006E5940"/>
    <w:rsid w:val="006E662F"/>
    <w:rsid w:val="006F0581"/>
    <w:rsid w:val="006F1B9E"/>
    <w:rsid w:val="006F2045"/>
    <w:rsid w:val="006F2F05"/>
    <w:rsid w:val="006F5AEA"/>
    <w:rsid w:val="006F701A"/>
    <w:rsid w:val="00701E6E"/>
    <w:rsid w:val="00702EEB"/>
    <w:rsid w:val="007030BC"/>
    <w:rsid w:val="007040D3"/>
    <w:rsid w:val="007050A8"/>
    <w:rsid w:val="00705BAA"/>
    <w:rsid w:val="00705ED1"/>
    <w:rsid w:val="00712124"/>
    <w:rsid w:val="007170B2"/>
    <w:rsid w:val="00720272"/>
    <w:rsid w:val="0072249B"/>
    <w:rsid w:val="00724539"/>
    <w:rsid w:val="007245DC"/>
    <w:rsid w:val="00724ED3"/>
    <w:rsid w:val="00726638"/>
    <w:rsid w:val="00726FF1"/>
    <w:rsid w:val="00730643"/>
    <w:rsid w:val="00730FF1"/>
    <w:rsid w:val="00735AB7"/>
    <w:rsid w:val="0073697E"/>
    <w:rsid w:val="00737E7C"/>
    <w:rsid w:val="00742304"/>
    <w:rsid w:val="00742EFD"/>
    <w:rsid w:val="00743169"/>
    <w:rsid w:val="007431F9"/>
    <w:rsid w:val="0074325F"/>
    <w:rsid w:val="00747244"/>
    <w:rsid w:val="00747B96"/>
    <w:rsid w:val="0075229D"/>
    <w:rsid w:val="00752651"/>
    <w:rsid w:val="00755334"/>
    <w:rsid w:val="007563BD"/>
    <w:rsid w:val="007572FD"/>
    <w:rsid w:val="00757E88"/>
    <w:rsid w:val="0076040C"/>
    <w:rsid w:val="007622DB"/>
    <w:rsid w:val="00762BEC"/>
    <w:rsid w:val="0076310F"/>
    <w:rsid w:val="00763406"/>
    <w:rsid w:val="007651E4"/>
    <w:rsid w:val="00766126"/>
    <w:rsid w:val="00767D05"/>
    <w:rsid w:val="00770025"/>
    <w:rsid w:val="0077281C"/>
    <w:rsid w:val="00772B68"/>
    <w:rsid w:val="00773513"/>
    <w:rsid w:val="007736F4"/>
    <w:rsid w:val="007742F3"/>
    <w:rsid w:val="007742FB"/>
    <w:rsid w:val="007752D5"/>
    <w:rsid w:val="007812DB"/>
    <w:rsid w:val="00783FC3"/>
    <w:rsid w:val="007842A0"/>
    <w:rsid w:val="00785C63"/>
    <w:rsid w:val="00787175"/>
    <w:rsid w:val="00792E01"/>
    <w:rsid w:val="00794209"/>
    <w:rsid w:val="00795683"/>
    <w:rsid w:val="007974B2"/>
    <w:rsid w:val="007A0D06"/>
    <w:rsid w:val="007A448F"/>
    <w:rsid w:val="007A5607"/>
    <w:rsid w:val="007A6472"/>
    <w:rsid w:val="007B3D5F"/>
    <w:rsid w:val="007B456A"/>
    <w:rsid w:val="007B46D0"/>
    <w:rsid w:val="007B5894"/>
    <w:rsid w:val="007B68BB"/>
    <w:rsid w:val="007C0804"/>
    <w:rsid w:val="007C0AE3"/>
    <w:rsid w:val="007C33DD"/>
    <w:rsid w:val="007C3463"/>
    <w:rsid w:val="007C658A"/>
    <w:rsid w:val="007C74B0"/>
    <w:rsid w:val="007D0871"/>
    <w:rsid w:val="007D0B28"/>
    <w:rsid w:val="007D34FE"/>
    <w:rsid w:val="007D3C66"/>
    <w:rsid w:val="007D5D5E"/>
    <w:rsid w:val="007D65F5"/>
    <w:rsid w:val="007D70C8"/>
    <w:rsid w:val="007E4854"/>
    <w:rsid w:val="007E506D"/>
    <w:rsid w:val="007E5758"/>
    <w:rsid w:val="007E60EC"/>
    <w:rsid w:val="007F0DDB"/>
    <w:rsid w:val="007F1C53"/>
    <w:rsid w:val="007F2F30"/>
    <w:rsid w:val="007F739F"/>
    <w:rsid w:val="008057F4"/>
    <w:rsid w:val="00807E86"/>
    <w:rsid w:val="00810084"/>
    <w:rsid w:val="00810758"/>
    <w:rsid w:val="00811E8E"/>
    <w:rsid w:val="00812136"/>
    <w:rsid w:val="0081655C"/>
    <w:rsid w:val="00817607"/>
    <w:rsid w:val="0082021C"/>
    <w:rsid w:val="00820E8A"/>
    <w:rsid w:val="00822905"/>
    <w:rsid w:val="00823F33"/>
    <w:rsid w:val="00832032"/>
    <w:rsid w:val="00832E74"/>
    <w:rsid w:val="00835CDA"/>
    <w:rsid w:val="00837310"/>
    <w:rsid w:val="00840269"/>
    <w:rsid w:val="00840DAD"/>
    <w:rsid w:val="00840E02"/>
    <w:rsid w:val="00845A31"/>
    <w:rsid w:val="00845F3E"/>
    <w:rsid w:val="00847CF6"/>
    <w:rsid w:val="00850A6C"/>
    <w:rsid w:val="008533EA"/>
    <w:rsid w:val="00856018"/>
    <w:rsid w:val="00860DF2"/>
    <w:rsid w:val="00863742"/>
    <w:rsid w:val="008655FF"/>
    <w:rsid w:val="008658E4"/>
    <w:rsid w:val="0086646D"/>
    <w:rsid w:val="00866F3C"/>
    <w:rsid w:val="008671C1"/>
    <w:rsid w:val="008736C9"/>
    <w:rsid w:val="00873EBC"/>
    <w:rsid w:val="00874A9C"/>
    <w:rsid w:val="008760C0"/>
    <w:rsid w:val="00876EB0"/>
    <w:rsid w:val="0087704E"/>
    <w:rsid w:val="00877BC5"/>
    <w:rsid w:val="0088044C"/>
    <w:rsid w:val="00880964"/>
    <w:rsid w:val="008838E6"/>
    <w:rsid w:val="00884D34"/>
    <w:rsid w:val="00886C0A"/>
    <w:rsid w:val="008905F2"/>
    <w:rsid w:val="00894F7B"/>
    <w:rsid w:val="0089586C"/>
    <w:rsid w:val="008964DA"/>
    <w:rsid w:val="00896B2F"/>
    <w:rsid w:val="008A1F27"/>
    <w:rsid w:val="008A3B34"/>
    <w:rsid w:val="008A54B7"/>
    <w:rsid w:val="008A5649"/>
    <w:rsid w:val="008A5AB3"/>
    <w:rsid w:val="008B186E"/>
    <w:rsid w:val="008B3368"/>
    <w:rsid w:val="008B52AB"/>
    <w:rsid w:val="008B78C9"/>
    <w:rsid w:val="008C186F"/>
    <w:rsid w:val="008C25A6"/>
    <w:rsid w:val="008C2EC3"/>
    <w:rsid w:val="008C4190"/>
    <w:rsid w:val="008C6266"/>
    <w:rsid w:val="008D19BC"/>
    <w:rsid w:val="008D2B7E"/>
    <w:rsid w:val="008D2C40"/>
    <w:rsid w:val="008D369B"/>
    <w:rsid w:val="008D3BFE"/>
    <w:rsid w:val="008D46A5"/>
    <w:rsid w:val="008E18F1"/>
    <w:rsid w:val="008E1C59"/>
    <w:rsid w:val="008E2612"/>
    <w:rsid w:val="008E3FA4"/>
    <w:rsid w:val="008F4441"/>
    <w:rsid w:val="00901C83"/>
    <w:rsid w:val="00902DC6"/>
    <w:rsid w:val="009033B2"/>
    <w:rsid w:val="00903AEA"/>
    <w:rsid w:val="009065B2"/>
    <w:rsid w:val="00910611"/>
    <w:rsid w:val="00910795"/>
    <w:rsid w:val="00912163"/>
    <w:rsid w:val="00913B6A"/>
    <w:rsid w:val="0091483D"/>
    <w:rsid w:val="00916270"/>
    <w:rsid w:val="009168E9"/>
    <w:rsid w:val="00920039"/>
    <w:rsid w:val="00924BEE"/>
    <w:rsid w:val="009255AA"/>
    <w:rsid w:val="009258F2"/>
    <w:rsid w:val="009270EB"/>
    <w:rsid w:val="0092730D"/>
    <w:rsid w:val="00930374"/>
    <w:rsid w:val="009305A2"/>
    <w:rsid w:val="00931D58"/>
    <w:rsid w:val="009322F8"/>
    <w:rsid w:val="00932B51"/>
    <w:rsid w:val="00933700"/>
    <w:rsid w:val="00933A0C"/>
    <w:rsid w:val="0093431E"/>
    <w:rsid w:val="009351F1"/>
    <w:rsid w:val="00940D00"/>
    <w:rsid w:val="00943B6B"/>
    <w:rsid w:val="00943D0C"/>
    <w:rsid w:val="00950FB1"/>
    <w:rsid w:val="00956A4A"/>
    <w:rsid w:val="00957054"/>
    <w:rsid w:val="00957BFE"/>
    <w:rsid w:val="00960894"/>
    <w:rsid w:val="0096124A"/>
    <w:rsid w:val="009642EF"/>
    <w:rsid w:val="009708AA"/>
    <w:rsid w:val="0097131C"/>
    <w:rsid w:val="00972017"/>
    <w:rsid w:val="009724B8"/>
    <w:rsid w:val="00972656"/>
    <w:rsid w:val="00974721"/>
    <w:rsid w:val="00974AD1"/>
    <w:rsid w:val="00976CD3"/>
    <w:rsid w:val="00977210"/>
    <w:rsid w:val="00977390"/>
    <w:rsid w:val="00981D37"/>
    <w:rsid w:val="009821C1"/>
    <w:rsid w:val="009901C1"/>
    <w:rsid w:val="009912C4"/>
    <w:rsid w:val="00991472"/>
    <w:rsid w:val="0099149E"/>
    <w:rsid w:val="009922DB"/>
    <w:rsid w:val="009A1A53"/>
    <w:rsid w:val="009A1F32"/>
    <w:rsid w:val="009A21EB"/>
    <w:rsid w:val="009A2E1A"/>
    <w:rsid w:val="009A2E9F"/>
    <w:rsid w:val="009A57BF"/>
    <w:rsid w:val="009A5D01"/>
    <w:rsid w:val="009A714D"/>
    <w:rsid w:val="009B2C4F"/>
    <w:rsid w:val="009B3F6D"/>
    <w:rsid w:val="009B4610"/>
    <w:rsid w:val="009B581F"/>
    <w:rsid w:val="009B5D59"/>
    <w:rsid w:val="009B5DE4"/>
    <w:rsid w:val="009B6B49"/>
    <w:rsid w:val="009B74C6"/>
    <w:rsid w:val="009B77A4"/>
    <w:rsid w:val="009C09DE"/>
    <w:rsid w:val="009C17C6"/>
    <w:rsid w:val="009C2F2F"/>
    <w:rsid w:val="009C4FC8"/>
    <w:rsid w:val="009C7CAD"/>
    <w:rsid w:val="009D1C22"/>
    <w:rsid w:val="009D1E53"/>
    <w:rsid w:val="009D477E"/>
    <w:rsid w:val="009D6812"/>
    <w:rsid w:val="009E0E71"/>
    <w:rsid w:val="009E28B2"/>
    <w:rsid w:val="009E3563"/>
    <w:rsid w:val="009E4F1C"/>
    <w:rsid w:val="009E5163"/>
    <w:rsid w:val="009E7D8D"/>
    <w:rsid w:val="009F0C82"/>
    <w:rsid w:val="009F57AE"/>
    <w:rsid w:val="009F5ACB"/>
    <w:rsid w:val="00A0073E"/>
    <w:rsid w:val="00A01A18"/>
    <w:rsid w:val="00A06E71"/>
    <w:rsid w:val="00A10174"/>
    <w:rsid w:val="00A11FC4"/>
    <w:rsid w:val="00A12325"/>
    <w:rsid w:val="00A14C69"/>
    <w:rsid w:val="00A20F11"/>
    <w:rsid w:val="00A211D4"/>
    <w:rsid w:val="00A21D8E"/>
    <w:rsid w:val="00A21EFD"/>
    <w:rsid w:val="00A2265F"/>
    <w:rsid w:val="00A22681"/>
    <w:rsid w:val="00A25004"/>
    <w:rsid w:val="00A306EB"/>
    <w:rsid w:val="00A30C64"/>
    <w:rsid w:val="00A33FB0"/>
    <w:rsid w:val="00A35728"/>
    <w:rsid w:val="00A369B7"/>
    <w:rsid w:val="00A36DDA"/>
    <w:rsid w:val="00A37E15"/>
    <w:rsid w:val="00A41260"/>
    <w:rsid w:val="00A45ECF"/>
    <w:rsid w:val="00A47BF8"/>
    <w:rsid w:val="00A47CD1"/>
    <w:rsid w:val="00A50813"/>
    <w:rsid w:val="00A521C9"/>
    <w:rsid w:val="00A5223C"/>
    <w:rsid w:val="00A5247A"/>
    <w:rsid w:val="00A54101"/>
    <w:rsid w:val="00A61294"/>
    <w:rsid w:val="00A628DB"/>
    <w:rsid w:val="00A62A0E"/>
    <w:rsid w:val="00A62D3E"/>
    <w:rsid w:val="00A71B3C"/>
    <w:rsid w:val="00A7250D"/>
    <w:rsid w:val="00A746B9"/>
    <w:rsid w:val="00A74939"/>
    <w:rsid w:val="00A811A6"/>
    <w:rsid w:val="00A83960"/>
    <w:rsid w:val="00A84B49"/>
    <w:rsid w:val="00A8531E"/>
    <w:rsid w:val="00A85811"/>
    <w:rsid w:val="00A860ED"/>
    <w:rsid w:val="00A871FB"/>
    <w:rsid w:val="00A902B2"/>
    <w:rsid w:val="00A90370"/>
    <w:rsid w:val="00A90BE9"/>
    <w:rsid w:val="00A92952"/>
    <w:rsid w:val="00A95B39"/>
    <w:rsid w:val="00A95CEF"/>
    <w:rsid w:val="00A95F11"/>
    <w:rsid w:val="00A964AD"/>
    <w:rsid w:val="00A9679B"/>
    <w:rsid w:val="00A9695A"/>
    <w:rsid w:val="00AA0DC3"/>
    <w:rsid w:val="00AA391E"/>
    <w:rsid w:val="00AA68CE"/>
    <w:rsid w:val="00AB04DA"/>
    <w:rsid w:val="00AB19BD"/>
    <w:rsid w:val="00AB1DDB"/>
    <w:rsid w:val="00AB2691"/>
    <w:rsid w:val="00AB3DF5"/>
    <w:rsid w:val="00AB5461"/>
    <w:rsid w:val="00AB7403"/>
    <w:rsid w:val="00AB7ECA"/>
    <w:rsid w:val="00AC26F9"/>
    <w:rsid w:val="00AC2E02"/>
    <w:rsid w:val="00AC3ED5"/>
    <w:rsid w:val="00AC4E97"/>
    <w:rsid w:val="00AC54A7"/>
    <w:rsid w:val="00AC597D"/>
    <w:rsid w:val="00AD2799"/>
    <w:rsid w:val="00AD3378"/>
    <w:rsid w:val="00AD35B2"/>
    <w:rsid w:val="00AD56B6"/>
    <w:rsid w:val="00AD56C8"/>
    <w:rsid w:val="00AD5E83"/>
    <w:rsid w:val="00AE03ED"/>
    <w:rsid w:val="00AE3D2A"/>
    <w:rsid w:val="00AE651C"/>
    <w:rsid w:val="00AE6653"/>
    <w:rsid w:val="00AE7F0C"/>
    <w:rsid w:val="00AF06FA"/>
    <w:rsid w:val="00AF0F48"/>
    <w:rsid w:val="00AF30B6"/>
    <w:rsid w:val="00AF4E88"/>
    <w:rsid w:val="00AF5CD0"/>
    <w:rsid w:val="00AF5F2B"/>
    <w:rsid w:val="00B00034"/>
    <w:rsid w:val="00B03CEE"/>
    <w:rsid w:val="00B0704E"/>
    <w:rsid w:val="00B07408"/>
    <w:rsid w:val="00B164CB"/>
    <w:rsid w:val="00B21E11"/>
    <w:rsid w:val="00B240D5"/>
    <w:rsid w:val="00B25788"/>
    <w:rsid w:val="00B320E7"/>
    <w:rsid w:val="00B34ED4"/>
    <w:rsid w:val="00B36208"/>
    <w:rsid w:val="00B376CC"/>
    <w:rsid w:val="00B4060C"/>
    <w:rsid w:val="00B42D89"/>
    <w:rsid w:val="00B4369E"/>
    <w:rsid w:val="00B43C58"/>
    <w:rsid w:val="00B43D26"/>
    <w:rsid w:val="00B47B6E"/>
    <w:rsid w:val="00B50397"/>
    <w:rsid w:val="00B50A22"/>
    <w:rsid w:val="00B50DB4"/>
    <w:rsid w:val="00B55A33"/>
    <w:rsid w:val="00B60526"/>
    <w:rsid w:val="00B61983"/>
    <w:rsid w:val="00B61E39"/>
    <w:rsid w:val="00B6311E"/>
    <w:rsid w:val="00B631B3"/>
    <w:rsid w:val="00B6562C"/>
    <w:rsid w:val="00B65AE3"/>
    <w:rsid w:val="00B70F9C"/>
    <w:rsid w:val="00B73290"/>
    <w:rsid w:val="00B7424B"/>
    <w:rsid w:val="00B746C9"/>
    <w:rsid w:val="00B74EE2"/>
    <w:rsid w:val="00B7720A"/>
    <w:rsid w:val="00B802DF"/>
    <w:rsid w:val="00B810C7"/>
    <w:rsid w:val="00B81650"/>
    <w:rsid w:val="00B84F94"/>
    <w:rsid w:val="00B857CC"/>
    <w:rsid w:val="00B85FC6"/>
    <w:rsid w:val="00B874E4"/>
    <w:rsid w:val="00B87E24"/>
    <w:rsid w:val="00B91993"/>
    <w:rsid w:val="00B92617"/>
    <w:rsid w:val="00B92CE8"/>
    <w:rsid w:val="00B947EC"/>
    <w:rsid w:val="00B96C00"/>
    <w:rsid w:val="00B9726D"/>
    <w:rsid w:val="00B977FD"/>
    <w:rsid w:val="00BA104B"/>
    <w:rsid w:val="00BA1407"/>
    <w:rsid w:val="00BA31EF"/>
    <w:rsid w:val="00BA3843"/>
    <w:rsid w:val="00BB0705"/>
    <w:rsid w:val="00BB1135"/>
    <w:rsid w:val="00BB31B1"/>
    <w:rsid w:val="00BB4217"/>
    <w:rsid w:val="00BB5015"/>
    <w:rsid w:val="00BB5DAE"/>
    <w:rsid w:val="00BB66CC"/>
    <w:rsid w:val="00BB72BA"/>
    <w:rsid w:val="00BB7B77"/>
    <w:rsid w:val="00BC0085"/>
    <w:rsid w:val="00BC68FD"/>
    <w:rsid w:val="00BD0C99"/>
    <w:rsid w:val="00BD1E76"/>
    <w:rsid w:val="00BD2F9D"/>
    <w:rsid w:val="00BE0052"/>
    <w:rsid w:val="00BE2120"/>
    <w:rsid w:val="00C0226E"/>
    <w:rsid w:val="00C02A09"/>
    <w:rsid w:val="00C02FF1"/>
    <w:rsid w:val="00C03213"/>
    <w:rsid w:val="00C0384A"/>
    <w:rsid w:val="00C0565D"/>
    <w:rsid w:val="00C07D3F"/>
    <w:rsid w:val="00C113AE"/>
    <w:rsid w:val="00C11A9E"/>
    <w:rsid w:val="00C13AC6"/>
    <w:rsid w:val="00C13C13"/>
    <w:rsid w:val="00C13E45"/>
    <w:rsid w:val="00C15B2C"/>
    <w:rsid w:val="00C178A0"/>
    <w:rsid w:val="00C212BE"/>
    <w:rsid w:val="00C229B3"/>
    <w:rsid w:val="00C242E2"/>
    <w:rsid w:val="00C254D4"/>
    <w:rsid w:val="00C26BC8"/>
    <w:rsid w:val="00C30FAA"/>
    <w:rsid w:val="00C33B9F"/>
    <w:rsid w:val="00C33D93"/>
    <w:rsid w:val="00C36977"/>
    <w:rsid w:val="00C37507"/>
    <w:rsid w:val="00C37A89"/>
    <w:rsid w:val="00C401E1"/>
    <w:rsid w:val="00C40280"/>
    <w:rsid w:val="00C4447A"/>
    <w:rsid w:val="00C50F97"/>
    <w:rsid w:val="00C51CF1"/>
    <w:rsid w:val="00C52241"/>
    <w:rsid w:val="00C52CC1"/>
    <w:rsid w:val="00C534B1"/>
    <w:rsid w:val="00C57DF2"/>
    <w:rsid w:val="00C6092B"/>
    <w:rsid w:val="00C60BC0"/>
    <w:rsid w:val="00C6136D"/>
    <w:rsid w:val="00C61E40"/>
    <w:rsid w:val="00C62480"/>
    <w:rsid w:val="00C6255E"/>
    <w:rsid w:val="00C62CD9"/>
    <w:rsid w:val="00C63FA7"/>
    <w:rsid w:val="00C643DA"/>
    <w:rsid w:val="00C64417"/>
    <w:rsid w:val="00C65539"/>
    <w:rsid w:val="00C65744"/>
    <w:rsid w:val="00C65C9C"/>
    <w:rsid w:val="00C67D49"/>
    <w:rsid w:val="00C701B5"/>
    <w:rsid w:val="00C76913"/>
    <w:rsid w:val="00C774A9"/>
    <w:rsid w:val="00C77A45"/>
    <w:rsid w:val="00C80391"/>
    <w:rsid w:val="00C804AF"/>
    <w:rsid w:val="00C8181B"/>
    <w:rsid w:val="00C81BB9"/>
    <w:rsid w:val="00C84892"/>
    <w:rsid w:val="00C856F0"/>
    <w:rsid w:val="00C87B8A"/>
    <w:rsid w:val="00C931C2"/>
    <w:rsid w:val="00C9348A"/>
    <w:rsid w:val="00C96034"/>
    <w:rsid w:val="00C9619C"/>
    <w:rsid w:val="00CA3D23"/>
    <w:rsid w:val="00CA4787"/>
    <w:rsid w:val="00CA5B13"/>
    <w:rsid w:val="00CA60F8"/>
    <w:rsid w:val="00CB21E5"/>
    <w:rsid w:val="00CB317E"/>
    <w:rsid w:val="00CB3AE3"/>
    <w:rsid w:val="00CB410F"/>
    <w:rsid w:val="00CB438E"/>
    <w:rsid w:val="00CB47A5"/>
    <w:rsid w:val="00CB4D38"/>
    <w:rsid w:val="00CB4D82"/>
    <w:rsid w:val="00CB58A2"/>
    <w:rsid w:val="00CC1DCB"/>
    <w:rsid w:val="00CC28ED"/>
    <w:rsid w:val="00CC36D3"/>
    <w:rsid w:val="00CC410F"/>
    <w:rsid w:val="00CC7C37"/>
    <w:rsid w:val="00CD05EC"/>
    <w:rsid w:val="00CD3A14"/>
    <w:rsid w:val="00CD3F74"/>
    <w:rsid w:val="00CD7661"/>
    <w:rsid w:val="00CE15B6"/>
    <w:rsid w:val="00CE2502"/>
    <w:rsid w:val="00CE3D14"/>
    <w:rsid w:val="00CE4770"/>
    <w:rsid w:val="00CE4FEB"/>
    <w:rsid w:val="00CE5F1C"/>
    <w:rsid w:val="00CF23F1"/>
    <w:rsid w:val="00CF3188"/>
    <w:rsid w:val="00CF3603"/>
    <w:rsid w:val="00CF7A5B"/>
    <w:rsid w:val="00CF7DA7"/>
    <w:rsid w:val="00CF7DFB"/>
    <w:rsid w:val="00D04702"/>
    <w:rsid w:val="00D04B48"/>
    <w:rsid w:val="00D06718"/>
    <w:rsid w:val="00D07930"/>
    <w:rsid w:val="00D107DF"/>
    <w:rsid w:val="00D11752"/>
    <w:rsid w:val="00D15DD8"/>
    <w:rsid w:val="00D22E82"/>
    <w:rsid w:val="00D24518"/>
    <w:rsid w:val="00D24BEC"/>
    <w:rsid w:val="00D264ED"/>
    <w:rsid w:val="00D30B6E"/>
    <w:rsid w:val="00D32949"/>
    <w:rsid w:val="00D34F96"/>
    <w:rsid w:val="00D35D55"/>
    <w:rsid w:val="00D42F50"/>
    <w:rsid w:val="00D45E95"/>
    <w:rsid w:val="00D465D4"/>
    <w:rsid w:val="00D47215"/>
    <w:rsid w:val="00D52D6A"/>
    <w:rsid w:val="00D52D7F"/>
    <w:rsid w:val="00D53088"/>
    <w:rsid w:val="00D55EAD"/>
    <w:rsid w:val="00D56690"/>
    <w:rsid w:val="00D60392"/>
    <w:rsid w:val="00D60DB0"/>
    <w:rsid w:val="00D62F45"/>
    <w:rsid w:val="00D633D6"/>
    <w:rsid w:val="00D6461F"/>
    <w:rsid w:val="00D64BA6"/>
    <w:rsid w:val="00D659E7"/>
    <w:rsid w:val="00D66AD5"/>
    <w:rsid w:val="00D71307"/>
    <w:rsid w:val="00D7341D"/>
    <w:rsid w:val="00D7398C"/>
    <w:rsid w:val="00D73F4A"/>
    <w:rsid w:val="00D741F2"/>
    <w:rsid w:val="00D74CB4"/>
    <w:rsid w:val="00D83EF8"/>
    <w:rsid w:val="00D84741"/>
    <w:rsid w:val="00D848CF"/>
    <w:rsid w:val="00D94812"/>
    <w:rsid w:val="00D94DB1"/>
    <w:rsid w:val="00D96084"/>
    <w:rsid w:val="00DA2B54"/>
    <w:rsid w:val="00DA4FDA"/>
    <w:rsid w:val="00DA621F"/>
    <w:rsid w:val="00DA7710"/>
    <w:rsid w:val="00DB0222"/>
    <w:rsid w:val="00DB51AF"/>
    <w:rsid w:val="00DB6AF0"/>
    <w:rsid w:val="00DC1551"/>
    <w:rsid w:val="00DC1A3A"/>
    <w:rsid w:val="00DC1E2A"/>
    <w:rsid w:val="00DC1FB3"/>
    <w:rsid w:val="00DC243C"/>
    <w:rsid w:val="00DC4114"/>
    <w:rsid w:val="00DC4FC3"/>
    <w:rsid w:val="00DC5A69"/>
    <w:rsid w:val="00DC6AD6"/>
    <w:rsid w:val="00DC75C0"/>
    <w:rsid w:val="00DD0392"/>
    <w:rsid w:val="00DD217C"/>
    <w:rsid w:val="00DD2224"/>
    <w:rsid w:val="00DD72B2"/>
    <w:rsid w:val="00DE0C57"/>
    <w:rsid w:val="00DE1175"/>
    <w:rsid w:val="00DE1F47"/>
    <w:rsid w:val="00DE36D4"/>
    <w:rsid w:val="00DE5CE4"/>
    <w:rsid w:val="00DF0C11"/>
    <w:rsid w:val="00DF1765"/>
    <w:rsid w:val="00E00683"/>
    <w:rsid w:val="00E01D37"/>
    <w:rsid w:val="00E036A1"/>
    <w:rsid w:val="00E03CDB"/>
    <w:rsid w:val="00E05FE7"/>
    <w:rsid w:val="00E15C05"/>
    <w:rsid w:val="00E20001"/>
    <w:rsid w:val="00E21F6C"/>
    <w:rsid w:val="00E30B2F"/>
    <w:rsid w:val="00E31F6B"/>
    <w:rsid w:val="00E34294"/>
    <w:rsid w:val="00E34DD9"/>
    <w:rsid w:val="00E36283"/>
    <w:rsid w:val="00E405A6"/>
    <w:rsid w:val="00E4105A"/>
    <w:rsid w:val="00E432B5"/>
    <w:rsid w:val="00E455BD"/>
    <w:rsid w:val="00E469A5"/>
    <w:rsid w:val="00E4701D"/>
    <w:rsid w:val="00E52813"/>
    <w:rsid w:val="00E528C2"/>
    <w:rsid w:val="00E60871"/>
    <w:rsid w:val="00E60AC5"/>
    <w:rsid w:val="00E60B13"/>
    <w:rsid w:val="00E63748"/>
    <w:rsid w:val="00E63DE1"/>
    <w:rsid w:val="00E6690C"/>
    <w:rsid w:val="00E66CCC"/>
    <w:rsid w:val="00E67B68"/>
    <w:rsid w:val="00E67B80"/>
    <w:rsid w:val="00E70E39"/>
    <w:rsid w:val="00E7233A"/>
    <w:rsid w:val="00E723D8"/>
    <w:rsid w:val="00E72DEF"/>
    <w:rsid w:val="00E74B08"/>
    <w:rsid w:val="00E766F5"/>
    <w:rsid w:val="00E76D97"/>
    <w:rsid w:val="00E821D9"/>
    <w:rsid w:val="00E84B83"/>
    <w:rsid w:val="00E85BC2"/>
    <w:rsid w:val="00E86A1C"/>
    <w:rsid w:val="00E90069"/>
    <w:rsid w:val="00E919FF"/>
    <w:rsid w:val="00E946CE"/>
    <w:rsid w:val="00EA3F24"/>
    <w:rsid w:val="00EA46C1"/>
    <w:rsid w:val="00EA5062"/>
    <w:rsid w:val="00EA56D8"/>
    <w:rsid w:val="00EA5D42"/>
    <w:rsid w:val="00EA7588"/>
    <w:rsid w:val="00EA7BD4"/>
    <w:rsid w:val="00EB0ADC"/>
    <w:rsid w:val="00EB1DDC"/>
    <w:rsid w:val="00EB1F7E"/>
    <w:rsid w:val="00EB3D7D"/>
    <w:rsid w:val="00EB46D1"/>
    <w:rsid w:val="00EB4FB8"/>
    <w:rsid w:val="00EB662E"/>
    <w:rsid w:val="00EB7812"/>
    <w:rsid w:val="00EC0317"/>
    <w:rsid w:val="00EC05C0"/>
    <w:rsid w:val="00EC3A1A"/>
    <w:rsid w:val="00EC4750"/>
    <w:rsid w:val="00EC4BAD"/>
    <w:rsid w:val="00EC50B5"/>
    <w:rsid w:val="00EC7D35"/>
    <w:rsid w:val="00ED47CD"/>
    <w:rsid w:val="00ED555D"/>
    <w:rsid w:val="00ED7E78"/>
    <w:rsid w:val="00EE4200"/>
    <w:rsid w:val="00EE5185"/>
    <w:rsid w:val="00EE62CC"/>
    <w:rsid w:val="00EE6D9D"/>
    <w:rsid w:val="00EF05EA"/>
    <w:rsid w:val="00EF1323"/>
    <w:rsid w:val="00EF497A"/>
    <w:rsid w:val="00EF6C7E"/>
    <w:rsid w:val="00EF6FCF"/>
    <w:rsid w:val="00F01B0D"/>
    <w:rsid w:val="00F02CA4"/>
    <w:rsid w:val="00F02E7C"/>
    <w:rsid w:val="00F04D6B"/>
    <w:rsid w:val="00F056E5"/>
    <w:rsid w:val="00F078DB"/>
    <w:rsid w:val="00F131F6"/>
    <w:rsid w:val="00F16DBA"/>
    <w:rsid w:val="00F17A8B"/>
    <w:rsid w:val="00F2053F"/>
    <w:rsid w:val="00F20F79"/>
    <w:rsid w:val="00F2250C"/>
    <w:rsid w:val="00F2364C"/>
    <w:rsid w:val="00F247DB"/>
    <w:rsid w:val="00F2668C"/>
    <w:rsid w:val="00F26B14"/>
    <w:rsid w:val="00F332AB"/>
    <w:rsid w:val="00F3416B"/>
    <w:rsid w:val="00F34406"/>
    <w:rsid w:val="00F3537D"/>
    <w:rsid w:val="00F356FB"/>
    <w:rsid w:val="00F36916"/>
    <w:rsid w:val="00F3755C"/>
    <w:rsid w:val="00F4049C"/>
    <w:rsid w:val="00F41BE0"/>
    <w:rsid w:val="00F430D8"/>
    <w:rsid w:val="00F474EA"/>
    <w:rsid w:val="00F508CD"/>
    <w:rsid w:val="00F52C81"/>
    <w:rsid w:val="00F53124"/>
    <w:rsid w:val="00F549E8"/>
    <w:rsid w:val="00F54E18"/>
    <w:rsid w:val="00F56031"/>
    <w:rsid w:val="00F56EB9"/>
    <w:rsid w:val="00F576D9"/>
    <w:rsid w:val="00F60FF8"/>
    <w:rsid w:val="00F6713F"/>
    <w:rsid w:val="00F707A6"/>
    <w:rsid w:val="00F71113"/>
    <w:rsid w:val="00F71F70"/>
    <w:rsid w:val="00F7262A"/>
    <w:rsid w:val="00F72D45"/>
    <w:rsid w:val="00F73217"/>
    <w:rsid w:val="00F73DC5"/>
    <w:rsid w:val="00F742E0"/>
    <w:rsid w:val="00F76D61"/>
    <w:rsid w:val="00F77A24"/>
    <w:rsid w:val="00F820C3"/>
    <w:rsid w:val="00F84ECF"/>
    <w:rsid w:val="00F8518F"/>
    <w:rsid w:val="00F85954"/>
    <w:rsid w:val="00F866BC"/>
    <w:rsid w:val="00F87447"/>
    <w:rsid w:val="00F90B35"/>
    <w:rsid w:val="00F90D83"/>
    <w:rsid w:val="00F915A6"/>
    <w:rsid w:val="00F933E1"/>
    <w:rsid w:val="00F93ED0"/>
    <w:rsid w:val="00F94060"/>
    <w:rsid w:val="00F9593F"/>
    <w:rsid w:val="00F95A80"/>
    <w:rsid w:val="00F97511"/>
    <w:rsid w:val="00FA0C02"/>
    <w:rsid w:val="00FA3415"/>
    <w:rsid w:val="00FA372C"/>
    <w:rsid w:val="00FA40A6"/>
    <w:rsid w:val="00FA53EC"/>
    <w:rsid w:val="00FA6E3C"/>
    <w:rsid w:val="00FA7341"/>
    <w:rsid w:val="00FB0EF3"/>
    <w:rsid w:val="00FB1082"/>
    <w:rsid w:val="00FB35EE"/>
    <w:rsid w:val="00FB6C19"/>
    <w:rsid w:val="00FB6DA1"/>
    <w:rsid w:val="00FC251B"/>
    <w:rsid w:val="00FC41DB"/>
    <w:rsid w:val="00FC4443"/>
    <w:rsid w:val="00FC5FB6"/>
    <w:rsid w:val="00FC6763"/>
    <w:rsid w:val="00FC6F37"/>
    <w:rsid w:val="00FD27AB"/>
    <w:rsid w:val="00FD2E82"/>
    <w:rsid w:val="00FD34CC"/>
    <w:rsid w:val="00FD6ACB"/>
    <w:rsid w:val="00FD6FA2"/>
    <w:rsid w:val="00FD7628"/>
    <w:rsid w:val="00FE0A1D"/>
    <w:rsid w:val="00FE1434"/>
    <w:rsid w:val="00FE1E26"/>
    <w:rsid w:val="00FE2AF3"/>
    <w:rsid w:val="00FE3E7B"/>
    <w:rsid w:val="00FE49EE"/>
    <w:rsid w:val="00FF307B"/>
    <w:rsid w:val="00FF394A"/>
    <w:rsid w:val="00FF5BF6"/>
    <w:rsid w:val="00FF5C23"/>
    <w:rsid w:val="00FF6570"/>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 w:type="table" w:styleId="GridTable2">
    <w:name w:val="Grid Table 2"/>
    <w:basedOn w:val="TableNormal"/>
    <w:uiPriority w:val="47"/>
    <w:rsid w:val="001059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3140726">
      <w:bodyDiv w:val="1"/>
      <w:marLeft w:val="0"/>
      <w:marRight w:val="0"/>
      <w:marTop w:val="0"/>
      <w:marBottom w:val="0"/>
      <w:divBdr>
        <w:top w:val="none" w:sz="0" w:space="0" w:color="auto"/>
        <w:left w:val="none" w:sz="0" w:space="0" w:color="auto"/>
        <w:bottom w:val="none" w:sz="0" w:space="0" w:color="auto"/>
        <w:right w:val="none" w:sz="0" w:space="0" w:color="auto"/>
      </w:divBdr>
      <w:divsChild>
        <w:div w:id="1864778643">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47282980">
      <w:bodyDiv w:val="1"/>
      <w:marLeft w:val="0"/>
      <w:marRight w:val="0"/>
      <w:marTop w:val="0"/>
      <w:marBottom w:val="0"/>
      <w:divBdr>
        <w:top w:val="none" w:sz="0" w:space="0" w:color="auto"/>
        <w:left w:val="none" w:sz="0" w:space="0" w:color="auto"/>
        <w:bottom w:val="none" w:sz="0" w:space="0" w:color="auto"/>
        <w:right w:val="none" w:sz="0" w:space="0" w:color="auto"/>
      </w:divBdr>
      <w:divsChild>
        <w:div w:id="1836995780">
          <w:marLeft w:val="0"/>
          <w:marRight w:val="0"/>
          <w:marTop w:val="0"/>
          <w:marBottom w:val="0"/>
          <w:divBdr>
            <w:top w:val="none" w:sz="0" w:space="0" w:color="auto"/>
            <w:left w:val="none" w:sz="0" w:space="0" w:color="auto"/>
            <w:bottom w:val="none" w:sz="0" w:space="0" w:color="auto"/>
            <w:right w:val="none" w:sz="0" w:space="0" w:color="auto"/>
          </w:divBdr>
        </w:div>
      </w:divsChild>
    </w:div>
    <w:div w:id="147745200">
      <w:bodyDiv w:val="1"/>
      <w:marLeft w:val="0"/>
      <w:marRight w:val="0"/>
      <w:marTop w:val="0"/>
      <w:marBottom w:val="0"/>
      <w:divBdr>
        <w:top w:val="none" w:sz="0" w:space="0" w:color="auto"/>
        <w:left w:val="none" w:sz="0" w:space="0" w:color="auto"/>
        <w:bottom w:val="none" w:sz="0" w:space="0" w:color="auto"/>
        <w:right w:val="none" w:sz="0" w:space="0" w:color="auto"/>
      </w:divBdr>
      <w:divsChild>
        <w:div w:id="69549361">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184441836">
      <w:bodyDiv w:val="1"/>
      <w:marLeft w:val="0"/>
      <w:marRight w:val="0"/>
      <w:marTop w:val="0"/>
      <w:marBottom w:val="0"/>
      <w:divBdr>
        <w:top w:val="none" w:sz="0" w:space="0" w:color="auto"/>
        <w:left w:val="none" w:sz="0" w:space="0" w:color="auto"/>
        <w:bottom w:val="none" w:sz="0" w:space="0" w:color="auto"/>
        <w:right w:val="none" w:sz="0" w:space="0" w:color="auto"/>
      </w:divBdr>
      <w:divsChild>
        <w:div w:id="1534146100">
          <w:marLeft w:val="0"/>
          <w:marRight w:val="0"/>
          <w:marTop w:val="0"/>
          <w:marBottom w:val="0"/>
          <w:divBdr>
            <w:top w:val="none" w:sz="0" w:space="0" w:color="auto"/>
            <w:left w:val="none" w:sz="0" w:space="0" w:color="auto"/>
            <w:bottom w:val="none" w:sz="0" w:space="0" w:color="auto"/>
            <w:right w:val="none" w:sz="0" w:space="0" w:color="auto"/>
          </w:divBdr>
        </w:div>
      </w:divsChild>
    </w:div>
    <w:div w:id="200212993">
      <w:bodyDiv w:val="1"/>
      <w:marLeft w:val="0"/>
      <w:marRight w:val="0"/>
      <w:marTop w:val="0"/>
      <w:marBottom w:val="0"/>
      <w:divBdr>
        <w:top w:val="none" w:sz="0" w:space="0" w:color="auto"/>
        <w:left w:val="none" w:sz="0" w:space="0" w:color="auto"/>
        <w:bottom w:val="none" w:sz="0" w:space="0" w:color="auto"/>
        <w:right w:val="none" w:sz="0" w:space="0" w:color="auto"/>
      </w:divBdr>
      <w:divsChild>
        <w:div w:id="1894466471">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17467991">
      <w:bodyDiv w:val="1"/>
      <w:marLeft w:val="0"/>
      <w:marRight w:val="0"/>
      <w:marTop w:val="0"/>
      <w:marBottom w:val="0"/>
      <w:divBdr>
        <w:top w:val="none" w:sz="0" w:space="0" w:color="auto"/>
        <w:left w:val="none" w:sz="0" w:space="0" w:color="auto"/>
        <w:bottom w:val="none" w:sz="0" w:space="0" w:color="auto"/>
        <w:right w:val="none" w:sz="0" w:space="0" w:color="auto"/>
      </w:divBdr>
      <w:divsChild>
        <w:div w:id="2137405408">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31419125">
      <w:bodyDiv w:val="1"/>
      <w:marLeft w:val="0"/>
      <w:marRight w:val="0"/>
      <w:marTop w:val="0"/>
      <w:marBottom w:val="0"/>
      <w:divBdr>
        <w:top w:val="none" w:sz="0" w:space="0" w:color="auto"/>
        <w:left w:val="none" w:sz="0" w:space="0" w:color="auto"/>
        <w:bottom w:val="none" w:sz="0" w:space="0" w:color="auto"/>
        <w:right w:val="none" w:sz="0" w:space="0" w:color="auto"/>
      </w:divBdr>
      <w:divsChild>
        <w:div w:id="412047844">
          <w:marLeft w:val="0"/>
          <w:marRight w:val="0"/>
          <w:marTop w:val="0"/>
          <w:marBottom w:val="0"/>
          <w:divBdr>
            <w:top w:val="none" w:sz="0" w:space="0" w:color="auto"/>
            <w:left w:val="none" w:sz="0" w:space="0" w:color="auto"/>
            <w:bottom w:val="none" w:sz="0" w:space="0" w:color="auto"/>
            <w:right w:val="none" w:sz="0" w:space="0" w:color="auto"/>
          </w:divBdr>
        </w:div>
      </w:divsChild>
    </w:div>
    <w:div w:id="337385965">
      <w:bodyDiv w:val="1"/>
      <w:marLeft w:val="0"/>
      <w:marRight w:val="0"/>
      <w:marTop w:val="0"/>
      <w:marBottom w:val="0"/>
      <w:divBdr>
        <w:top w:val="none" w:sz="0" w:space="0" w:color="auto"/>
        <w:left w:val="none" w:sz="0" w:space="0" w:color="auto"/>
        <w:bottom w:val="none" w:sz="0" w:space="0" w:color="auto"/>
        <w:right w:val="none" w:sz="0" w:space="0" w:color="auto"/>
      </w:divBdr>
      <w:divsChild>
        <w:div w:id="1361008039">
          <w:marLeft w:val="0"/>
          <w:marRight w:val="0"/>
          <w:marTop w:val="0"/>
          <w:marBottom w:val="0"/>
          <w:divBdr>
            <w:top w:val="none" w:sz="0" w:space="0" w:color="auto"/>
            <w:left w:val="none" w:sz="0" w:space="0" w:color="auto"/>
            <w:bottom w:val="none" w:sz="0" w:space="0" w:color="auto"/>
            <w:right w:val="none" w:sz="0" w:space="0" w:color="auto"/>
          </w:divBdr>
        </w:div>
      </w:divsChild>
    </w:div>
    <w:div w:id="362825628">
      <w:bodyDiv w:val="1"/>
      <w:marLeft w:val="0"/>
      <w:marRight w:val="0"/>
      <w:marTop w:val="0"/>
      <w:marBottom w:val="0"/>
      <w:divBdr>
        <w:top w:val="none" w:sz="0" w:space="0" w:color="auto"/>
        <w:left w:val="none" w:sz="0" w:space="0" w:color="auto"/>
        <w:bottom w:val="none" w:sz="0" w:space="0" w:color="auto"/>
        <w:right w:val="none" w:sz="0" w:space="0" w:color="auto"/>
      </w:divBdr>
      <w:divsChild>
        <w:div w:id="1261794152">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380403096">
      <w:bodyDiv w:val="1"/>
      <w:marLeft w:val="0"/>
      <w:marRight w:val="0"/>
      <w:marTop w:val="0"/>
      <w:marBottom w:val="0"/>
      <w:divBdr>
        <w:top w:val="none" w:sz="0" w:space="0" w:color="auto"/>
        <w:left w:val="none" w:sz="0" w:space="0" w:color="auto"/>
        <w:bottom w:val="none" w:sz="0" w:space="0" w:color="auto"/>
        <w:right w:val="none" w:sz="0" w:space="0" w:color="auto"/>
      </w:divBdr>
      <w:divsChild>
        <w:div w:id="363210542">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07381255">
      <w:bodyDiv w:val="1"/>
      <w:marLeft w:val="0"/>
      <w:marRight w:val="0"/>
      <w:marTop w:val="0"/>
      <w:marBottom w:val="0"/>
      <w:divBdr>
        <w:top w:val="none" w:sz="0" w:space="0" w:color="auto"/>
        <w:left w:val="none" w:sz="0" w:space="0" w:color="auto"/>
        <w:bottom w:val="none" w:sz="0" w:space="0" w:color="auto"/>
        <w:right w:val="none" w:sz="0" w:space="0" w:color="auto"/>
      </w:divBdr>
      <w:divsChild>
        <w:div w:id="1145927479">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79427322">
      <w:bodyDiv w:val="1"/>
      <w:marLeft w:val="0"/>
      <w:marRight w:val="0"/>
      <w:marTop w:val="0"/>
      <w:marBottom w:val="0"/>
      <w:divBdr>
        <w:top w:val="none" w:sz="0" w:space="0" w:color="auto"/>
        <w:left w:val="none" w:sz="0" w:space="0" w:color="auto"/>
        <w:bottom w:val="none" w:sz="0" w:space="0" w:color="auto"/>
        <w:right w:val="none" w:sz="0" w:space="0" w:color="auto"/>
      </w:divBdr>
      <w:divsChild>
        <w:div w:id="2045904357">
          <w:marLeft w:val="0"/>
          <w:marRight w:val="0"/>
          <w:marTop w:val="0"/>
          <w:marBottom w:val="0"/>
          <w:divBdr>
            <w:top w:val="none" w:sz="0" w:space="0" w:color="auto"/>
            <w:left w:val="none" w:sz="0" w:space="0" w:color="auto"/>
            <w:bottom w:val="none" w:sz="0" w:space="0" w:color="auto"/>
            <w:right w:val="none" w:sz="0" w:space="0" w:color="auto"/>
          </w:divBdr>
        </w:div>
      </w:divsChild>
    </w:div>
    <w:div w:id="480002117">
      <w:bodyDiv w:val="1"/>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39250124">
      <w:bodyDiv w:val="1"/>
      <w:marLeft w:val="0"/>
      <w:marRight w:val="0"/>
      <w:marTop w:val="0"/>
      <w:marBottom w:val="0"/>
      <w:divBdr>
        <w:top w:val="none" w:sz="0" w:space="0" w:color="auto"/>
        <w:left w:val="none" w:sz="0" w:space="0" w:color="auto"/>
        <w:bottom w:val="none" w:sz="0" w:space="0" w:color="auto"/>
        <w:right w:val="none" w:sz="0" w:space="0" w:color="auto"/>
      </w:divBdr>
      <w:divsChild>
        <w:div w:id="2061247831">
          <w:marLeft w:val="0"/>
          <w:marRight w:val="0"/>
          <w:marTop w:val="0"/>
          <w:marBottom w:val="0"/>
          <w:divBdr>
            <w:top w:val="none" w:sz="0" w:space="0" w:color="auto"/>
            <w:left w:val="none" w:sz="0" w:space="0" w:color="auto"/>
            <w:bottom w:val="none" w:sz="0" w:space="0" w:color="auto"/>
            <w:right w:val="none" w:sz="0" w:space="0" w:color="auto"/>
          </w:divBdr>
        </w:div>
      </w:divsChild>
    </w:div>
    <w:div w:id="545215527">
      <w:bodyDiv w:val="1"/>
      <w:marLeft w:val="0"/>
      <w:marRight w:val="0"/>
      <w:marTop w:val="0"/>
      <w:marBottom w:val="0"/>
      <w:divBdr>
        <w:top w:val="none" w:sz="0" w:space="0" w:color="auto"/>
        <w:left w:val="none" w:sz="0" w:space="0" w:color="auto"/>
        <w:bottom w:val="none" w:sz="0" w:space="0" w:color="auto"/>
        <w:right w:val="none" w:sz="0" w:space="0" w:color="auto"/>
      </w:divBdr>
      <w:divsChild>
        <w:div w:id="855458504">
          <w:marLeft w:val="0"/>
          <w:marRight w:val="0"/>
          <w:marTop w:val="0"/>
          <w:marBottom w:val="0"/>
          <w:divBdr>
            <w:top w:val="none" w:sz="0" w:space="0" w:color="auto"/>
            <w:left w:val="none" w:sz="0" w:space="0" w:color="auto"/>
            <w:bottom w:val="none" w:sz="0" w:space="0" w:color="auto"/>
            <w:right w:val="none" w:sz="0" w:space="0" w:color="auto"/>
          </w:divBdr>
        </w:div>
      </w:divsChild>
    </w:div>
    <w:div w:id="569312416">
      <w:bodyDiv w:val="1"/>
      <w:marLeft w:val="0"/>
      <w:marRight w:val="0"/>
      <w:marTop w:val="0"/>
      <w:marBottom w:val="0"/>
      <w:divBdr>
        <w:top w:val="none" w:sz="0" w:space="0" w:color="auto"/>
        <w:left w:val="none" w:sz="0" w:space="0" w:color="auto"/>
        <w:bottom w:val="none" w:sz="0" w:space="0" w:color="auto"/>
        <w:right w:val="none" w:sz="0" w:space="0" w:color="auto"/>
      </w:divBdr>
      <w:divsChild>
        <w:div w:id="1214807270">
          <w:marLeft w:val="0"/>
          <w:marRight w:val="0"/>
          <w:marTop w:val="0"/>
          <w:marBottom w:val="0"/>
          <w:divBdr>
            <w:top w:val="none" w:sz="0" w:space="0" w:color="auto"/>
            <w:left w:val="none" w:sz="0" w:space="0" w:color="auto"/>
            <w:bottom w:val="none" w:sz="0" w:space="0" w:color="auto"/>
            <w:right w:val="none" w:sz="0" w:space="0" w:color="auto"/>
          </w:divBdr>
        </w:div>
      </w:divsChild>
    </w:div>
    <w:div w:id="5817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8006052">
      <w:bodyDiv w:val="1"/>
      <w:marLeft w:val="0"/>
      <w:marRight w:val="0"/>
      <w:marTop w:val="0"/>
      <w:marBottom w:val="0"/>
      <w:divBdr>
        <w:top w:val="none" w:sz="0" w:space="0" w:color="auto"/>
        <w:left w:val="none" w:sz="0" w:space="0" w:color="auto"/>
        <w:bottom w:val="none" w:sz="0" w:space="0" w:color="auto"/>
        <w:right w:val="none" w:sz="0" w:space="0" w:color="auto"/>
      </w:divBdr>
      <w:divsChild>
        <w:div w:id="1625039869">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174658">
      <w:bodyDiv w:val="1"/>
      <w:marLeft w:val="0"/>
      <w:marRight w:val="0"/>
      <w:marTop w:val="0"/>
      <w:marBottom w:val="0"/>
      <w:divBdr>
        <w:top w:val="none" w:sz="0" w:space="0" w:color="auto"/>
        <w:left w:val="none" w:sz="0" w:space="0" w:color="auto"/>
        <w:bottom w:val="none" w:sz="0" w:space="0" w:color="auto"/>
        <w:right w:val="none" w:sz="0" w:space="0" w:color="auto"/>
      </w:divBdr>
      <w:divsChild>
        <w:div w:id="2146268756">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2456756">
      <w:bodyDiv w:val="1"/>
      <w:marLeft w:val="0"/>
      <w:marRight w:val="0"/>
      <w:marTop w:val="0"/>
      <w:marBottom w:val="0"/>
      <w:divBdr>
        <w:top w:val="none" w:sz="0" w:space="0" w:color="auto"/>
        <w:left w:val="none" w:sz="0" w:space="0" w:color="auto"/>
        <w:bottom w:val="none" w:sz="0" w:space="0" w:color="auto"/>
        <w:right w:val="none" w:sz="0" w:space="0" w:color="auto"/>
      </w:divBdr>
      <w:divsChild>
        <w:div w:id="2147236856">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04735532">
      <w:bodyDiv w:val="1"/>
      <w:marLeft w:val="0"/>
      <w:marRight w:val="0"/>
      <w:marTop w:val="0"/>
      <w:marBottom w:val="0"/>
      <w:divBdr>
        <w:top w:val="none" w:sz="0" w:space="0" w:color="auto"/>
        <w:left w:val="none" w:sz="0" w:space="0" w:color="auto"/>
        <w:bottom w:val="none" w:sz="0" w:space="0" w:color="auto"/>
        <w:right w:val="none" w:sz="0" w:space="0" w:color="auto"/>
      </w:divBdr>
      <w:divsChild>
        <w:div w:id="1595437202">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27677075">
      <w:bodyDiv w:val="1"/>
      <w:marLeft w:val="0"/>
      <w:marRight w:val="0"/>
      <w:marTop w:val="0"/>
      <w:marBottom w:val="0"/>
      <w:divBdr>
        <w:top w:val="none" w:sz="0" w:space="0" w:color="auto"/>
        <w:left w:val="none" w:sz="0" w:space="0" w:color="auto"/>
        <w:bottom w:val="none" w:sz="0" w:space="0" w:color="auto"/>
        <w:right w:val="none" w:sz="0" w:space="0" w:color="auto"/>
      </w:divBdr>
      <w:divsChild>
        <w:div w:id="2115784117">
          <w:marLeft w:val="0"/>
          <w:marRight w:val="0"/>
          <w:marTop w:val="0"/>
          <w:marBottom w:val="0"/>
          <w:divBdr>
            <w:top w:val="none" w:sz="0" w:space="0" w:color="auto"/>
            <w:left w:val="none" w:sz="0" w:space="0" w:color="auto"/>
            <w:bottom w:val="none" w:sz="0" w:space="0" w:color="auto"/>
            <w:right w:val="none" w:sz="0" w:space="0" w:color="auto"/>
          </w:divBdr>
        </w:div>
      </w:divsChild>
    </w:div>
    <w:div w:id="830218988">
      <w:bodyDiv w:val="1"/>
      <w:marLeft w:val="0"/>
      <w:marRight w:val="0"/>
      <w:marTop w:val="0"/>
      <w:marBottom w:val="0"/>
      <w:divBdr>
        <w:top w:val="none" w:sz="0" w:space="0" w:color="auto"/>
        <w:left w:val="none" w:sz="0" w:space="0" w:color="auto"/>
        <w:bottom w:val="none" w:sz="0" w:space="0" w:color="auto"/>
        <w:right w:val="none" w:sz="0" w:space="0" w:color="auto"/>
      </w:divBdr>
      <w:divsChild>
        <w:div w:id="98959922">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0798018">
      <w:bodyDiv w:val="1"/>
      <w:marLeft w:val="0"/>
      <w:marRight w:val="0"/>
      <w:marTop w:val="0"/>
      <w:marBottom w:val="0"/>
      <w:divBdr>
        <w:top w:val="none" w:sz="0" w:space="0" w:color="auto"/>
        <w:left w:val="none" w:sz="0" w:space="0" w:color="auto"/>
        <w:bottom w:val="none" w:sz="0" w:space="0" w:color="auto"/>
        <w:right w:val="none" w:sz="0" w:space="0" w:color="auto"/>
      </w:divBdr>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898588228">
      <w:bodyDiv w:val="1"/>
      <w:marLeft w:val="0"/>
      <w:marRight w:val="0"/>
      <w:marTop w:val="0"/>
      <w:marBottom w:val="0"/>
      <w:divBdr>
        <w:top w:val="none" w:sz="0" w:space="0" w:color="auto"/>
        <w:left w:val="none" w:sz="0" w:space="0" w:color="auto"/>
        <w:bottom w:val="none" w:sz="0" w:space="0" w:color="auto"/>
        <w:right w:val="none" w:sz="0" w:space="0" w:color="auto"/>
      </w:divBdr>
      <w:divsChild>
        <w:div w:id="100736523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02005006">
      <w:bodyDiv w:val="1"/>
      <w:marLeft w:val="0"/>
      <w:marRight w:val="0"/>
      <w:marTop w:val="0"/>
      <w:marBottom w:val="0"/>
      <w:divBdr>
        <w:top w:val="none" w:sz="0" w:space="0" w:color="auto"/>
        <w:left w:val="none" w:sz="0" w:space="0" w:color="auto"/>
        <w:bottom w:val="none" w:sz="0" w:space="0" w:color="auto"/>
        <w:right w:val="none" w:sz="0" w:space="0" w:color="auto"/>
      </w:divBdr>
    </w:div>
    <w:div w:id="1004749233">
      <w:bodyDiv w:val="1"/>
      <w:marLeft w:val="0"/>
      <w:marRight w:val="0"/>
      <w:marTop w:val="0"/>
      <w:marBottom w:val="0"/>
      <w:divBdr>
        <w:top w:val="none" w:sz="0" w:space="0" w:color="auto"/>
        <w:left w:val="none" w:sz="0" w:space="0" w:color="auto"/>
        <w:bottom w:val="none" w:sz="0" w:space="0" w:color="auto"/>
        <w:right w:val="none" w:sz="0" w:space="0" w:color="auto"/>
      </w:divBdr>
      <w:divsChild>
        <w:div w:id="1335456033">
          <w:marLeft w:val="0"/>
          <w:marRight w:val="0"/>
          <w:marTop w:val="0"/>
          <w:marBottom w:val="0"/>
          <w:divBdr>
            <w:top w:val="none" w:sz="0" w:space="0" w:color="auto"/>
            <w:left w:val="none" w:sz="0" w:space="0" w:color="auto"/>
            <w:bottom w:val="none" w:sz="0" w:space="0" w:color="auto"/>
            <w:right w:val="none" w:sz="0" w:space="0" w:color="auto"/>
          </w:divBdr>
        </w:div>
      </w:divsChild>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22315664">
      <w:bodyDiv w:val="1"/>
      <w:marLeft w:val="0"/>
      <w:marRight w:val="0"/>
      <w:marTop w:val="0"/>
      <w:marBottom w:val="0"/>
      <w:divBdr>
        <w:top w:val="none" w:sz="0" w:space="0" w:color="auto"/>
        <w:left w:val="none" w:sz="0" w:space="0" w:color="auto"/>
        <w:bottom w:val="none" w:sz="0" w:space="0" w:color="auto"/>
        <w:right w:val="none" w:sz="0" w:space="0" w:color="auto"/>
      </w:divBdr>
      <w:divsChild>
        <w:div w:id="548079882">
          <w:marLeft w:val="0"/>
          <w:marRight w:val="0"/>
          <w:marTop w:val="0"/>
          <w:marBottom w:val="0"/>
          <w:divBdr>
            <w:top w:val="none" w:sz="0" w:space="0" w:color="auto"/>
            <w:left w:val="none" w:sz="0" w:space="0" w:color="auto"/>
            <w:bottom w:val="none" w:sz="0" w:space="0" w:color="auto"/>
            <w:right w:val="none" w:sz="0" w:space="0" w:color="auto"/>
          </w:divBdr>
        </w:div>
      </w:divsChild>
    </w:div>
    <w:div w:id="1040058218">
      <w:bodyDiv w:val="1"/>
      <w:marLeft w:val="0"/>
      <w:marRight w:val="0"/>
      <w:marTop w:val="0"/>
      <w:marBottom w:val="0"/>
      <w:divBdr>
        <w:top w:val="none" w:sz="0" w:space="0" w:color="auto"/>
        <w:left w:val="none" w:sz="0" w:space="0" w:color="auto"/>
        <w:bottom w:val="none" w:sz="0" w:space="0" w:color="auto"/>
        <w:right w:val="none" w:sz="0" w:space="0" w:color="auto"/>
      </w:divBdr>
      <w:divsChild>
        <w:div w:id="1179545733">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457191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9">
          <w:marLeft w:val="0"/>
          <w:marRight w:val="0"/>
          <w:marTop w:val="0"/>
          <w:marBottom w:val="0"/>
          <w:divBdr>
            <w:top w:val="none" w:sz="0" w:space="0" w:color="auto"/>
            <w:left w:val="none" w:sz="0" w:space="0" w:color="auto"/>
            <w:bottom w:val="none" w:sz="0" w:space="0" w:color="auto"/>
            <w:right w:val="none" w:sz="0" w:space="0" w:color="auto"/>
          </w:divBdr>
        </w:div>
      </w:divsChild>
    </w:div>
    <w:div w:id="1063023075">
      <w:bodyDiv w:val="1"/>
      <w:marLeft w:val="0"/>
      <w:marRight w:val="0"/>
      <w:marTop w:val="0"/>
      <w:marBottom w:val="0"/>
      <w:divBdr>
        <w:top w:val="none" w:sz="0" w:space="0" w:color="auto"/>
        <w:left w:val="none" w:sz="0" w:space="0" w:color="auto"/>
        <w:bottom w:val="none" w:sz="0" w:space="0" w:color="auto"/>
        <w:right w:val="none" w:sz="0" w:space="0" w:color="auto"/>
      </w:divBdr>
      <w:divsChild>
        <w:div w:id="427509196">
          <w:marLeft w:val="0"/>
          <w:marRight w:val="0"/>
          <w:marTop w:val="0"/>
          <w:marBottom w:val="0"/>
          <w:divBdr>
            <w:top w:val="none" w:sz="0" w:space="0" w:color="auto"/>
            <w:left w:val="none" w:sz="0" w:space="0" w:color="auto"/>
            <w:bottom w:val="none" w:sz="0" w:space="0" w:color="auto"/>
            <w:right w:val="none" w:sz="0" w:space="0" w:color="auto"/>
          </w:divBdr>
        </w:div>
      </w:divsChild>
    </w:div>
    <w:div w:id="1063791857">
      <w:bodyDiv w:val="1"/>
      <w:marLeft w:val="0"/>
      <w:marRight w:val="0"/>
      <w:marTop w:val="0"/>
      <w:marBottom w:val="0"/>
      <w:divBdr>
        <w:top w:val="none" w:sz="0" w:space="0" w:color="auto"/>
        <w:left w:val="none" w:sz="0" w:space="0" w:color="auto"/>
        <w:bottom w:val="none" w:sz="0" w:space="0" w:color="auto"/>
        <w:right w:val="none" w:sz="0" w:space="0" w:color="auto"/>
      </w:divBdr>
      <w:divsChild>
        <w:div w:id="840507302">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077167066">
      <w:bodyDiv w:val="1"/>
      <w:marLeft w:val="0"/>
      <w:marRight w:val="0"/>
      <w:marTop w:val="0"/>
      <w:marBottom w:val="0"/>
      <w:divBdr>
        <w:top w:val="none" w:sz="0" w:space="0" w:color="auto"/>
        <w:left w:val="none" w:sz="0" w:space="0" w:color="auto"/>
        <w:bottom w:val="none" w:sz="0" w:space="0" w:color="auto"/>
        <w:right w:val="none" w:sz="0" w:space="0" w:color="auto"/>
      </w:divBdr>
      <w:divsChild>
        <w:div w:id="711153742">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4323308">
      <w:bodyDiv w:val="1"/>
      <w:marLeft w:val="0"/>
      <w:marRight w:val="0"/>
      <w:marTop w:val="0"/>
      <w:marBottom w:val="0"/>
      <w:divBdr>
        <w:top w:val="none" w:sz="0" w:space="0" w:color="auto"/>
        <w:left w:val="none" w:sz="0" w:space="0" w:color="auto"/>
        <w:bottom w:val="none" w:sz="0" w:space="0" w:color="auto"/>
        <w:right w:val="none" w:sz="0" w:space="0" w:color="auto"/>
      </w:divBdr>
      <w:divsChild>
        <w:div w:id="131294860">
          <w:marLeft w:val="0"/>
          <w:marRight w:val="0"/>
          <w:marTop w:val="0"/>
          <w:marBottom w:val="0"/>
          <w:divBdr>
            <w:top w:val="none" w:sz="0" w:space="0" w:color="auto"/>
            <w:left w:val="none" w:sz="0" w:space="0" w:color="auto"/>
            <w:bottom w:val="none" w:sz="0" w:space="0" w:color="auto"/>
            <w:right w:val="none" w:sz="0" w:space="0" w:color="auto"/>
          </w:divBdr>
        </w:div>
      </w:divsChild>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66478061">
      <w:bodyDiv w:val="1"/>
      <w:marLeft w:val="0"/>
      <w:marRight w:val="0"/>
      <w:marTop w:val="0"/>
      <w:marBottom w:val="0"/>
      <w:divBdr>
        <w:top w:val="none" w:sz="0" w:space="0" w:color="auto"/>
        <w:left w:val="none" w:sz="0" w:space="0" w:color="auto"/>
        <w:bottom w:val="none" w:sz="0" w:space="0" w:color="auto"/>
        <w:right w:val="none" w:sz="0" w:space="0" w:color="auto"/>
      </w:divBdr>
      <w:divsChild>
        <w:div w:id="1904178690">
          <w:marLeft w:val="0"/>
          <w:marRight w:val="0"/>
          <w:marTop w:val="0"/>
          <w:marBottom w:val="0"/>
          <w:divBdr>
            <w:top w:val="none" w:sz="0" w:space="0" w:color="auto"/>
            <w:left w:val="none" w:sz="0" w:space="0" w:color="auto"/>
            <w:bottom w:val="none" w:sz="0" w:space="0" w:color="auto"/>
            <w:right w:val="none" w:sz="0" w:space="0" w:color="auto"/>
          </w:divBdr>
        </w:div>
      </w:divsChild>
    </w:div>
    <w:div w:id="1167289084">
      <w:bodyDiv w:val="1"/>
      <w:marLeft w:val="0"/>
      <w:marRight w:val="0"/>
      <w:marTop w:val="0"/>
      <w:marBottom w:val="0"/>
      <w:divBdr>
        <w:top w:val="none" w:sz="0" w:space="0" w:color="auto"/>
        <w:left w:val="none" w:sz="0" w:space="0" w:color="auto"/>
        <w:bottom w:val="none" w:sz="0" w:space="0" w:color="auto"/>
        <w:right w:val="none" w:sz="0" w:space="0" w:color="auto"/>
      </w:divBdr>
      <w:divsChild>
        <w:div w:id="360403125">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189486580">
      <w:bodyDiv w:val="1"/>
      <w:marLeft w:val="0"/>
      <w:marRight w:val="0"/>
      <w:marTop w:val="0"/>
      <w:marBottom w:val="0"/>
      <w:divBdr>
        <w:top w:val="none" w:sz="0" w:space="0" w:color="auto"/>
        <w:left w:val="none" w:sz="0" w:space="0" w:color="auto"/>
        <w:bottom w:val="none" w:sz="0" w:space="0" w:color="auto"/>
        <w:right w:val="none" w:sz="0" w:space="0" w:color="auto"/>
      </w:divBdr>
      <w:divsChild>
        <w:div w:id="350422171">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79027208">
      <w:bodyDiv w:val="1"/>
      <w:marLeft w:val="0"/>
      <w:marRight w:val="0"/>
      <w:marTop w:val="0"/>
      <w:marBottom w:val="0"/>
      <w:divBdr>
        <w:top w:val="none" w:sz="0" w:space="0" w:color="auto"/>
        <w:left w:val="none" w:sz="0" w:space="0" w:color="auto"/>
        <w:bottom w:val="none" w:sz="0" w:space="0" w:color="auto"/>
        <w:right w:val="none" w:sz="0" w:space="0" w:color="auto"/>
      </w:divBdr>
      <w:divsChild>
        <w:div w:id="219948677">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30986675">
      <w:bodyDiv w:val="1"/>
      <w:marLeft w:val="0"/>
      <w:marRight w:val="0"/>
      <w:marTop w:val="0"/>
      <w:marBottom w:val="0"/>
      <w:divBdr>
        <w:top w:val="none" w:sz="0" w:space="0" w:color="auto"/>
        <w:left w:val="none" w:sz="0" w:space="0" w:color="auto"/>
        <w:bottom w:val="none" w:sz="0" w:space="0" w:color="auto"/>
        <w:right w:val="none" w:sz="0" w:space="0" w:color="auto"/>
      </w:divBdr>
      <w:divsChild>
        <w:div w:id="532614017">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75511426">
      <w:bodyDiv w:val="1"/>
      <w:marLeft w:val="0"/>
      <w:marRight w:val="0"/>
      <w:marTop w:val="0"/>
      <w:marBottom w:val="0"/>
      <w:divBdr>
        <w:top w:val="none" w:sz="0" w:space="0" w:color="auto"/>
        <w:left w:val="none" w:sz="0" w:space="0" w:color="auto"/>
        <w:bottom w:val="none" w:sz="0" w:space="0" w:color="auto"/>
        <w:right w:val="none" w:sz="0" w:space="0" w:color="auto"/>
      </w:divBdr>
      <w:divsChild>
        <w:div w:id="1385179501">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11082117">
      <w:bodyDiv w:val="1"/>
      <w:marLeft w:val="0"/>
      <w:marRight w:val="0"/>
      <w:marTop w:val="0"/>
      <w:marBottom w:val="0"/>
      <w:divBdr>
        <w:top w:val="none" w:sz="0" w:space="0" w:color="auto"/>
        <w:left w:val="none" w:sz="0" w:space="0" w:color="auto"/>
        <w:bottom w:val="none" w:sz="0" w:space="0" w:color="auto"/>
        <w:right w:val="none" w:sz="0" w:space="0" w:color="auto"/>
      </w:divBdr>
      <w:divsChild>
        <w:div w:id="2067294344">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6278710">
      <w:bodyDiv w:val="1"/>
      <w:marLeft w:val="0"/>
      <w:marRight w:val="0"/>
      <w:marTop w:val="0"/>
      <w:marBottom w:val="0"/>
      <w:divBdr>
        <w:top w:val="none" w:sz="0" w:space="0" w:color="auto"/>
        <w:left w:val="none" w:sz="0" w:space="0" w:color="auto"/>
        <w:bottom w:val="none" w:sz="0" w:space="0" w:color="auto"/>
        <w:right w:val="none" w:sz="0" w:space="0" w:color="auto"/>
      </w:divBdr>
      <w:divsChild>
        <w:div w:id="840048598">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75837663">
      <w:bodyDiv w:val="1"/>
      <w:marLeft w:val="0"/>
      <w:marRight w:val="0"/>
      <w:marTop w:val="0"/>
      <w:marBottom w:val="0"/>
      <w:divBdr>
        <w:top w:val="none" w:sz="0" w:space="0" w:color="auto"/>
        <w:left w:val="none" w:sz="0" w:space="0" w:color="auto"/>
        <w:bottom w:val="none" w:sz="0" w:space="0" w:color="auto"/>
        <w:right w:val="none" w:sz="0" w:space="0" w:color="auto"/>
      </w:divBdr>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1678042">
      <w:bodyDiv w:val="1"/>
      <w:marLeft w:val="0"/>
      <w:marRight w:val="0"/>
      <w:marTop w:val="0"/>
      <w:marBottom w:val="0"/>
      <w:divBdr>
        <w:top w:val="none" w:sz="0" w:space="0" w:color="auto"/>
        <w:left w:val="none" w:sz="0" w:space="0" w:color="auto"/>
        <w:bottom w:val="none" w:sz="0" w:space="0" w:color="auto"/>
        <w:right w:val="none" w:sz="0" w:space="0" w:color="auto"/>
      </w:divBdr>
      <w:divsChild>
        <w:div w:id="391393596">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836847057">
      <w:bodyDiv w:val="1"/>
      <w:marLeft w:val="0"/>
      <w:marRight w:val="0"/>
      <w:marTop w:val="0"/>
      <w:marBottom w:val="0"/>
      <w:divBdr>
        <w:top w:val="none" w:sz="0" w:space="0" w:color="auto"/>
        <w:left w:val="none" w:sz="0" w:space="0" w:color="auto"/>
        <w:bottom w:val="none" w:sz="0" w:space="0" w:color="auto"/>
        <w:right w:val="none" w:sz="0" w:space="0" w:color="auto"/>
      </w:divBdr>
      <w:divsChild>
        <w:div w:id="1595478630">
          <w:marLeft w:val="0"/>
          <w:marRight w:val="0"/>
          <w:marTop w:val="0"/>
          <w:marBottom w:val="0"/>
          <w:divBdr>
            <w:top w:val="none" w:sz="0" w:space="0" w:color="auto"/>
            <w:left w:val="none" w:sz="0" w:space="0" w:color="auto"/>
            <w:bottom w:val="none" w:sz="0" w:space="0" w:color="auto"/>
            <w:right w:val="none" w:sz="0" w:space="0" w:color="auto"/>
          </w:divBdr>
        </w:div>
      </w:divsChild>
    </w:div>
    <w:div w:id="184131139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60">
          <w:marLeft w:val="0"/>
          <w:marRight w:val="0"/>
          <w:marTop w:val="0"/>
          <w:marBottom w:val="0"/>
          <w:divBdr>
            <w:top w:val="none" w:sz="0" w:space="0" w:color="auto"/>
            <w:left w:val="none" w:sz="0" w:space="0" w:color="auto"/>
            <w:bottom w:val="none" w:sz="0" w:space="0" w:color="auto"/>
            <w:right w:val="none" w:sz="0" w:space="0" w:color="auto"/>
          </w:divBdr>
        </w:div>
      </w:divsChild>
    </w:div>
    <w:div w:id="1877691755">
      <w:bodyDiv w:val="1"/>
      <w:marLeft w:val="0"/>
      <w:marRight w:val="0"/>
      <w:marTop w:val="0"/>
      <w:marBottom w:val="0"/>
      <w:divBdr>
        <w:top w:val="none" w:sz="0" w:space="0" w:color="auto"/>
        <w:left w:val="none" w:sz="0" w:space="0" w:color="auto"/>
        <w:bottom w:val="none" w:sz="0" w:space="0" w:color="auto"/>
        <w:right w:val="none" w:sz="0" w:space="0" w:color="auto"/>
      </w:divBdr>
      <w:divsChild>
        <w:div w:id="23411919">
          <w:marLeft w:val="0"/>
          <w:marRight w:val="0"/>
          <w:marTop w:val="0"/>
          <w:marBottom w:val="0"/>
          <w:divBdr>
            <w:top w:val="none" w:sz="0" w:space="0" w:color="auto"/>
            <w:left w:val="none" w:sz="0" w:space="0" w:color="auto"/>
            <w:bottom w:val="none" w:sz="0" w:space="0" w:color="auto"/>
            <w:right w:val="none" w:sz="0" w:space="0" w:color="auto"/>
          </w:divBdr>
        </w:div>
      </w:divsChild>
    </w:div>
    <w:div w:id="1905141175">
      <w:bodyDiv w:val="1"/>
      <w:marLeft w:val="0"/>
      <w:marRight w:val="0"/>
      <w:marTop w:val="0"/>
      <w:marBottom w:val="0"/>
      <w:divBdr>
        <w:top w:val="none" w:sz="0" w:space="0" w:color="auto"/>
        <w:left w:val="none" w:sz="0" w:space="0" w:color="auto"/>
        <w:bottom w:val="none" w:sz="0" w:space="0" w:color="auto"/>
        <w:right w:val="none" w:sz="0" w:space="0" w:color="auto"/>
      </w:divBdr>
      <w:divsChild>
        <w:div w:id="2146923534">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5870206">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7">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1988775980">
      <w:bodyDiv w:val="1"/>
      <w:marLeft w:val="0"/>
      <w:marRight w:val="0"/>
      <w:marTop w:val="0"/>
      <w:marBottom w:val="0"/>
      <w:divBdr>
        <w:top w:val="none" w:sz="0" w:space="0" w:color="auto"/>
        <w:left w:val="none" w:sz="0" w:space="0" w:color="auto"/>
        <w:bottom w:val="none" w:sz="0" w:space="0" w:color="auto"/>
        <w:right w:val="none" w:sz="0" w:space="0" w:color="auto"/>
      </w:divBdr>
      <w:divsChild>
        <w:div w:id="1761563537">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053917724">
      <w:bodyDiv w:val="1"/>
      <w:marLeft w:val="0"/>
      <w:marRight w:val="0"/>
      <w:marTop w:val="0"/>
      <w:marBottom w:val="0"/>
      <w:divBdr>
        <w:top w:val="none" w:sz="0" w:space="0" w:color="auto"/>
        <w:left w:val="none" w:sz="0" w:space="0" w:color="auto"/>
        <w:bottom w:val="none" w:sz="0" w:space="0" w:color="auto"/>
        <w:right w:val="none" w:sz="0" w:space="0" w:color="auto"/>
      </w:divBdr>
      <w:divsChild>
        <w:div w:id="833449334">
          <w:marLeft w:val="0"/>
          <w:marRight w:val="0"/>
          <w:marTop w:val="0"/>
          <w:marBottom w:val="0"/>
          <w:divBdr>
            <w:top w:val="none" w:sz="0" w:space="0" w:color="auto"/>
            <w:left w:val="none" w:sz="0" w:space="0" w:color="auto"/>
            <w:bottom w:val="none" w:sz="0" w:space="0" w:color="auto"/>
            <w:right w:val="none" w:sz="0" w:space="0" w:color="auto"/>
          </w:divBdr>
        </w:div>
      </w:divsChild>
    </w:div>
    <w:div w:id="2089106832">
      <w:bodyDiv w:val="1"/>
      <w:marLeft w:val="0"/>
      <w:marRight w:val="0"/>
      <w:marTop w:val="0"/>
      <w:marBottom w:val="0"/>
      <w:divBdr>
        <w:top w:val="none" w:sz="0" w:space="0" w:color="auto"/>
        <w:left w:val="none" w:sz="0" w:space="0" w:color="auto"/>
        <w:bottom w:val="none" w:sz="0" w:space="0" w:color="auto"/>
        <w:right w:val="none" w:sz="0" w:space="0" w:color="auto"/>
      </w:divBdr>
      <w:divsChild>
        <w:div w:id="1882742997">
          <w:marLeft w:val="0"/>
          <w:marRight w:val="0"/>
          <w:marTop w:val="0"/>
          <w:marBottom w:val="0"/>
          <w:divBdr>
            <w:top w:val="none" w:sz="0" w:space="0" w:color="auto"/>
            <w:left w:val="none" w:sz="0" w:space="0" w:color="auto"/>
            <w:bottom w:val="none" w:sz="0" w:space="0" w:color="auto"/>
            <w:right w:val="none" w:sz="0" w:space="0" w:color="auto"/>
          </w:divBdr>
        </w:div>
      </w:divsChild>
    </w:div>
    <w:div w:id="2098743169">
      <w:bodyDiv w:val="1"/>
      <w:marLeft w:val="0"/>
      <w:marRight w:val="0"/>
      <w:marTop w:val="0"/>
      <w:marBottom w:val="0"/>
      <w:divBdr>
        <w:top w:val="none" w:sz="0" w:space="0" w:color="auto"/>
        <w:left w:val="none" w:sz="0" w:space="0" w:color="auto"/>
        <w:bottom w:val="none" w:sz="0" w:space="0" w:color="auto"/>
        <w:right w:val="none" w:sz="0" w:space="0" w:color="auto"/>
      </w:divBdr>
      <w:divsChild>
        <w:div w:id="2022926940">
          <w:marLeft w:val="0"/>
          <w:marRight w:val="0"/>
          <w:marTop w:val="0"/>
          <w:marBottom w:val="0"/>
          <w:divBdr>
            <w:top w:val="none" w:sz="0" w:space="0" w:color="auto"/>
            <w:left w:val="none" w:sz="0" w:space="0" w:color="auto"/>
            <w:bottom w:val="none" w:sz="0" w:space="0" w:color="auto"/>
            <w:right w:val="none" w:sz="0" w:space="0" w:color="auto"/>
          </w:divBdr>
        </w:div>
      </w:divsChild>
    </w:div>
    <w:div w:id="2109884789">
      <w:bodyDiv w:val="1"/>
      <w:marLeft w:val="0"/>
      <w:marRight w:val="0"/>
      <w:marTop w:val="0"/>
      <w:marBottom w:val="0"/>
      <w:divBdr>
        <w:top w:val="none" w:sz="0" w:space="0" w:color="auto"/>
        <w:left w:val="none" w:sz="0" w:space="0" w:color="auto"/>
        <w:bottom w:val="none" w:sz="0" w:space="0" w:color="auto"/>
        <w:right w:val="none" w:sz="0" w:space="0" w:color="auto"/>
      </w:divBdr>
      <w:divsChild>
        <w:div w:id="1958903546">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8351924">
      <w:bodyDiv w:val="1"/>
      <w:marLeft w:val="0"/>
      <w:marRight w:val="0"/>
      <w:marTop w:val="0"/>
      <w:marBottom w:val="0"/>
      <w:divBdr>
        <w:top w:val="none" w:sz="0" w:space="0" w:color="auto"/>
        <w:left w:val="none" w:sz="0" w:space="0" w:color="auto"/>
        <w:bottom w:val="none" w:sz="0" w:space="0" w:color="auto"/>
        <w:right w:val="none" w:sz="0" w:space="0" w:color="auto"/>
      </w:divBdr>
      <w:divsChild>
        <w:div w:id="72129437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hyperlink" Target="https://www.genecards.org/cgi-bin/carddisp.pl?gene=CERT1" TargetMode="External"/><Relationship Id="rId47" Type="http://schemas.openxmlformats.org/officeDocument/2006/relationships/hyperlink" Target="https://doi.org/10.7150/jca.15371" TargetMode="External"/><Relationship Id="rId63" Type="http://schemas.openxmlformats.org/officeDocument/2006/relationships/hyperlink" Target="https://doi.org/10.1038/s41467-019-10933-3" TargetMode="External"/><Relationship Id="rId68" Type="http://schemas.openxmlformats.org/officeDocument/2006/relationships/hyperlink" Target="https://doi.org/10.1016/j.annepidem.2017.10.014" TargetMode="External"/><Relationship Id="rId84" Type="http://schemas.openxmlformats.org/officeDocument/2006/relationships/image" Target="media/image18.png"/><Relationship Id="rId89" Type="http://schemas.openxmlformats.org/officeDocument/2006/relationships/image" Target="media/image23.png"/><Relationship Id="rId16" Type="http://schemas.openxmlformats.org/officeDocument/2006/relationships/chart" Target="charts/chart1.xml"/><Relationship Id="rId11" Type="http://schemas.openxmlformats.org/officeDocument/2006/relationships/endnotes" Target="endnotes.xml"/><Relationship Id="rId32" Type="http://schemas.openxmlformats.org/officeDocument/2006/relationships/hyperlink" Target="https://doi.org/10.1158/1078-0432.ccr-13-1256" TargetMode="External"/><Relationship Id="rId37" Type="http://schemas.openxmlformats.org/officeDocument/2006/relationships/hyperlink" Target="https://doi.org/10.1093/bib/bbs046" TargetMode="External"/><Relationship Id="rId53" Type="http://schemas.openxmlformats.org/officeDocument/2006/relationships/hyperlink" Target="https://doi.org/10.1016/j.cell.2018.02.052" TargetMode="External"/><Relationship Id="rId58" Type="http://schemas.openxmlformats.org/officeDocument/2006/relationships/hyperlink" Target="http://www.economics.soton.ac.uk/staff/aldrich/1900.pdf" TargetMode="External"/><Relationship Id="rId74" Type="http://schemas.openxmlformats.org/officeDocument/2006/relationships/hyperlink" Target="https://doi.org/10.1038/nm.3801" TargetMode="External"/><Relationship Id="rId79" Type="http://schemas.openxmlformats.org/officeDocument/2006/relationships/hyperlink" Target="https://doi.org/10.1186/s12967-019-2058-1" TargetMode="External"/><Relationship Id="rId5" Type="http://schemas.openxmlformats.org/officeDocument/2006/relationships/customXml" Target="../customXml/item5.xml"/><Relationship Id="rId90" Type="http://schemas.openxmlformats.org/officeDocument/2006/relationships/image" Target="media/image24.png"/><Relationship Id="rId95" Type="http://schemas.openxmlformats.org/officeDocument/2006/relationships/theme" Target="theme/theme1.xml"/><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hyperlink" Target="https://ghr.nlm.nih.gov/primer/basics/gene" TargetMode="External"/><Relationship Id="rId48" Type="http://schemas.openxmlformats.org/officeDocument/2006/relationships/hyperlink" Target="https://doi.org/10.1186/s13059-018-1578-y" TargetMode="External"/><Relationship Id="rId64" Type="http://schemas.openxmlformats.org/officeDocument/2006/relationships/hyperlink" Target="https://doi.org/10.1213/ane.0000000000003653" TargetMode="External"/><Relationship Id="rId69" Type="http://schemas.openxmlformats.org/officeDocument/2006/relationships/hyperlink" Target="http://Www.Cancer.Gov" TargetMode="External"/><Relationship Id="rId8" Type="http://schemas.openxmlformats.org/officeDocument/2006/relationships/settings" Target="settings.xml"/><Relationship Id="rId51" Type="http://schemas.openxmlformats.org/officeDocument/2006/relationships/hyperlink" Target="https://doi.org/10.3389/fgene.2019.00097" TargetMode="External"/><Relationship Id="rId72" Type="http://schemas.openxmlformats.org/officeDocument/2006/relationships/hyperlink" Target="https://www.cancer.gov/about-nci/organization/ccg/research/structural-genomics/tcga" TargetMode="External"/><Relationship Id="rId80" Type="http://schemas.openxmlformats.org/officeDocument/2006/relationships/image" Target="media/image14.png"/><Relationship Id="rId85" Type="http://schemas.openxmlformats.org/officeDocument/2006/relationships/image" Target="media/image19.png"/><Relationship Id="rId93"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3389/fonc.2015.00245" TargetMode="External"/><Relationship Id="rId38" Type="http://schemas.openxmlformats.org/officeDocument/2006/relationships/hyperlink" Target="https://doi.org/10.1198/016214505000000033" TargetMode="External"/><Relationship Id="rId46" Type="http://schemas.openxmlformats.org/officeDocument/2006/relationships/hyperlink" Target="https://www.genome.gov/human-genome" TargetMode="External"/><Relationship Id="rId59" Type="http://schemas.openxmlformats.org/officeDocument/2006/relationships/hyperlink" Target="https://doi.org/10.1159/000184719" TargetMode="External"/><Relationship Id="rId67" Type="http://schemas.openxmlformats.org/officeDocument/2006/relationships/hyperlink" Target="https://doi.org/10.1186/s12859-016%091255-7" TargetMode="External"/><Relationship Id="rId20" Type="http://schemas.openxmlformats.org/officeDocument/2006/relationships/image" Target="media/image6.png"/><Relationship Id="rId41" Type="http://schemas.openxmlformats.org/officeDocument/2006/relationships/hyperlink" Target="https://www.genecards.org/cgi-bin/carddisp.pl?gene=COL12A1" TargetMode="External"/><Relationship Id="rId54" Type="http://schemas.openxmlformats.org/officeDocument/2006/relationships/hyperlink" Target="https://doi.org/10.1093/jnci/22.4.719" TargetMode="External"/><Relationship Id="rId62" Type="http://schemas.openxmlformats.org/officeDocument/2006/relationships/hyperlink" Target="https://doi.org/10.1055/s-2006-948556" TargetMode="External"/><Relationship Id="rId70" Type="http://schemas.openxmlformats.org/officeDocument/2006/relationships/hyperlink" Target="https://www.cancer.gov/about-nci/organization/ccg/research/structural" TargetMode="External"/><Relationship Id="rId75" Type="http://schemas.openxmlformats.org/officeDocument/2006/relationships/hyperlink" Target="https://www.broadinstitute.org/blog/opinionome-can-dna" TargetMode="External"/><Relationship Id="rId83" Type="http://schemas.openxmlformats.org/officeDocument/2006/relationships/image" Target="media/image17.png"/><Relationship Id="rId88" Type="http://schemas.openxmlformats.org/officeDocument/2006/relationships/image" Target="media/image22.png"/><Relationship Id="rId9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doi.org/10.1109/24.294997" TargetMode="External"/><Relationship Id="rId36" Type="http://schemas.openxmlformats.org/officeDocument/2006/relationships/hyperlink" Target="https://www.jax.org/news-and-insights/2015/december/the-evolution-of-high-throughput-genome-sequencing" TargetMode="External"/><Relationship Id="rId49" Type="http://schemas.openxmlformats.org/officeDocument/2006/relationships/hyperlink" Target="https://doi.org/10.1080/01621459.1958.10501452" TargetMode="External"/><Relationship Id="rId57" Type="http://schemas.openxmlformats.org/officeDocument/2006/relationships/hyperlink" Target="https://www.ncbi.nlm.nih.gov/gene/1303" TargetMode="External"/><Relationship Id="rId10" Type="http://schemas.openxmlformats.org/officeDocument/2006/relationships/footnotes" Target="footnotes.xml"/><Relationship Id="rId31" Type="http://schemas.openxmlformats.org/officeDocument/2006/relationships/hyperlink" Target="https://www.cancer.org/cancer/ovarian-cancer/detection-diagnosis-staging/survival-rates.html" TargetMode="External"/><Relationship Id="rId44" Type="http://schemas.openxmlformats.org/officeDocument/2006/relationships/hyperlink" Target="https://www.theanalysisfactor.com/the-six-types-of-survival-analysis-and-challenges-in-learning-them/" TargetMode="External"/><Relationship Id="rId52" Type="http://schemas.openxmlformats.org/officeDocument/2006/relationships/hyperlink" Target="https://doi.org/10.1002/path.2998" TargetMode="External"/><Relationship Id="rId60" Type="http://schemas.openxmlformats.org/officeDocument/2006/relationships/hyperlink" Target="https://doi.org/10.2307/2344317" TargetMode="External"/><Relationship Id="rId65" Type="http://schemas.openxmlformats.org/officeDocument/2006/relationships/hyperlink" Target="https://doi.org/10.1007/s40142-017-0129-2\" TargetMode="External"/><Relationship Id="rId73" Type="http://schemas.openxmlformats.org/officeDocument/2006/relationships/hyperlink" Target="https://www.cancer.gov/about-nci/organization/ccg/research/structural-genomics/tcga/publications" TargetMode="External"/><Relationship Id="rId78" Type="http://schemas.openxmlformats.org/officeDocument/2006/relationships/hyperlink" Target="https://doi.org/10.1038/onc.2013.307" TargetMode="External"/><Relationship Id="rId81" Type="http://schemas.openxmlformats.org/officeDocument/2006/relationships/image" Target="media/image15.png"/><Relationship Id="rId86" Type="http://schemas.openxmlformats.org/officeDocument/2006/relationships/image" Target="media/image20.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9" Type="http://schemas.openxmlformats.org/officeDocument/2006/relationships/hyperlink" Target="https://doi.org/10.1002/ijc.29815" TargetMode="External"/><Relationship Id="rId34" Type="http://schemas.openxmlformats.org/officeDocument/2006/relationships/hyperlink" Target="https://doi.org/10.1111/j.2517-6161.1972.tb00899.x" TargetMode="External"/><Relationship Id="rId50" Type="http://schemas.openxmlformats.org/officeDocument/2006/relationships/hyperlink" Target="https://www.youtube.com/watch?v=sJPti8Yh4k4" TargetMode="External"/><Relationship Id="rId55" Type="http://schemas.openxmlformats.org/officeDocument/2006/relationships/hyperlink" Target="https://scholarworks.wmich.edu/dissertations/895" TargetMode="External"/><Relationship Id="rId76" Type="http://schemas.openxmlformats.org/officeDocument/2006/relationships/hyperlink" Target="https://doi.org/10.1038/sdata.2018.61" TargetMode="External"/><Relationship Id="rId7" Type="http://schemas.openxmlformats.org/officeDocument/2006/relationships/styles" Target="styles.xml"/><Relationship Id="rId71" Type="http://schemas.openxmlformats.org/officeDocument/2006/relationships/hyperlink" Target="https://doi.org/10.1038/bjc.2013.687" TargetMode="External"/><Relationship Id="rId92" Type="http://schemas.openxmlformats.org/officeDocument/2006/relationships/image" Target="media/image26.png"/><Relationship Id="rId2" Type="http://schemas.openxmlformats.org/officeDocument/2006/relationships/customXml" Target="../customXml/item2.xml"/><Relationship Id="rId29" Type="http://schemas.openxmlformats.org/officeDocument/2006/relationships/hyperlink" Target="https://doi.org/10.1038/sj.bjc.6601119" TargetMode="External"/><Relationship Id="rId24" Type="http://schemas.openxmlformats.org/officeDocument/2006/relationships/image" Target="media/image10.png"/><Relationship Id="rId40" Type="http://schemas.openxmlformats.org/officeDocument/2006/relationships/hyperlink" Target="https://doi.org/10.1200/jco.2005.10.042" TargetMode="External"/><Relationship Id="rId45" Type="http://schemas.openxmlformats.org/officeDocument/2006/relationships/hyperlink" Target="https://doi.org/10.1038/nrc3599" TargetMode="External"/><Relationship Id="rId66" Type="http://schemas.openxmlformats.org/officeDocument/2006/relationships/hyperlink" Target="https://doi.org/10.1086/431652" TargetMode="External"/><Relationship Id="rId87" Type="http://schemas.openxmlformats.org/officeDocument/2006/relationships/image" Target="media/image21.png"/><Relationship Id="rId61" Type="http://schemas.openxmlformats.org/officeDocument/2006/relationships/hyperlink" Target="https://doi.org/10.4103/0970-0218.66859" TargetMode="External"/><Relationship Id="rId82" Type="http://schemas.openxmlformats.org/officeDocument/2006/relationships/image" Target="media/image16.png"/><Relationship Id="rId19" Type="http://schemas.openxmlformats.org/officeDocument/2006/relationships/image" Target="media/image5.png"/><Relationship Id="rId14" Type="http://schemas.openxmlformats.org/officeDocument/2006/relationships/footer" Target="footer1.xml"/><Relationship Id="rId30" Type="http://schemas.openxmlformats.org/officeDocument/2006/relationships/hyperlink" Target="https://doi.org/10.1186/s12864-017-3770-y" TargetMode="External"/><Relationship Id="rId35" Type="http://schemas.openxmlformats.org/officeDocument/2006/relationships/hyperlink" Target="https://doi.org/10.4314/aipm.v6i1.64038" TargetMode="External"/><Relationship Id="rId56" Type="http://schemas.openxmlformats.org/officeDocument/2006/relationships/hyperlink" Target="https://www.wired.com/story/the-us-urgently-needs-new-genetic-privacy-laws/" TargetMode="External"/><Relationship Id="rId77" Type="http://schemas.openxmlformats.org/officeDocument/2006/relationships/hyperlink" Target="https://doi.org/10.1093/gigascience/giz07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ata%20Science\Thesis\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Sheet1!$H$18</c:f>
              <c:strCache>
                <c:ptCount val="1"/>
                <c:pt idx="0">
                  <c:v>Hazard Ratio</c:v>
                </c:pt>
              </c:strCache>
            </c:strRef>
          </c:tx>
          <c:spPr>
            <a:noFill/>
            <a:ln>
              <a:noFill/>
            </a:ln>
            <a:effectLst/>
          </c:spPr>
          <c:invertIfNegative val="0"/>
          <c:cat>
            <c:strRef>
              <c:f>(Sheet1!$E$20:$E$21,Sheet1!$E$23:$E$24,Sheet1!$E$26:$E$27)</c:f>
              <c:strCache>
                <c:ptCount val="6"/>
                <c:pt idx="0">
                  <c:v>COL5A3 Deletion</c:v>
                </c:pt>
                <c:pt idx="1">
                  <c:v>COL5A3 Duplication</c:v>
                </c:pt>
                <c:pt idx="2">
                  <c:v>COL4A3BP Deletion</c:v>
                </c:pt>
                <c:pt idx="3">
                  <c:v>COL4A3BP Duplication</c:v>
                </c:pt>
                <c:pt idx="4">
                  <c:v>COL12A1 Deletion</c:v>
                </c:pt>
                <c:pt idx="5">
                  <c:v>COL12A1 Duplication</c:v>
                </c:pt>
              </c:strCache>
            </c:strRef>
          </c:cat>
          <c: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val>
          <c:extLst>
            <c:ext xmlns:c16="http://schemas.microsoft.com/office/drawing/2014/chart" uri="{C3380CC4-5D6E-409C-BE32-E72D297353CC}">
              <c16:uniqueId val="{00000000-AE6A-4E07-AE0D-235BDA26197C}"/>
            </c:ext>
          </c:extLst>
        </c:ser>
        <c:dLbls>
          <c:showLegendKey val="0"/>
          <c:showVal val="0"/>
          <c:showCatName val="0"/>
          <c:showSerName val="0"/>
          <c:showPercent val="0"/>
          <c:showBubbleSize val="0"/>
        </c:dLbls>
        <c:gapWidth val="182"/>
        <c:axId val="705237663"/>
        <c:axId val="705235999"/>
      </c:barChart>
      <c:scatterChart>
        <c:scatterStyle val="lineMarker"/>
        <c:varyColors val="0"/>
        <c:ser>
          <c:idx val="1"/>
          <c:order val="1"/>
          <c:spPr>
            <a:ln w="25400" cap="rnd">
              <a:noFill/>
              <a:round/>
            </a:ln>
            <a:effectLst/>
          </c:spPr>
          <c:marker>
            <c:symbol val="circle"/>
            <c:size val="5"/>
            <c:spPr>
              <a:solidFill>
                <a:schemeClr val="tx1"/>
              </a:solidFill>
              <a:ln w="9525">
                <a:solidFill>
                  <a:schemeClr val="tx1"/>
                </a:solidFill>
              </a:ln>
              <a:effectLst/>
            </c:spPr>
          </c:marker>
          <c:dPt>
            <c:idx val="0"/>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3-AE6A-4E07-AE0D-235BDA26197C}"/>
              </c:ext>
            </c:extLst>
          </c:dPt>
          <c:dPt>
            <c:idx val="3"/>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4-AE6A-4E07-AE0D-235BDA26197C}"/>
              </c:ext>
            </c:extLst>
          </c:dPt>
          <c:errBars>
            <c:errDir val="x"/>
            <c:errBarType val="both"/>
            <c:errValType val="cust"/>
            <c:noEndCap val="0"/>
            <c:plus>
              <c:numRef>
                <c:f>(Sheet1!$K$20:$K$21,Sheet1!$K$23:$K$24,Sheet1!$K$26:$K$27)</c:f>
                <c:numCache>
                  <c:formatCode>General</c:formatCode>
                  <c:ptCount val="6"/>
                  <c:pt idx="0">
                    <c:v>0.45917795119768345</c:v>
                  </c:pt>
                  <c:pt idx="1">
                    <c:v>0.31907215760329188</c:v>
                  </c:pt>
                  <c:pt idx="2">
                    <c:v>0.28645376883509766</c:v>
                  </c:pt>
                  <c:pt idx="3">
                    <c:v>1.7580102710118704</c:v>
                  </c:pt>
                  <c:pt idx="4">
                    <c:v>0.3765465659589835</c:v>
                  </c:pt>
                  <c:pt idx="5">
                    <c:v>0.33007904165408619</c:v>
                  </c:pt>
                </c:numCache>
              </c:numRef>
            </c:plus>
            <c:minus>
              <c:numRef>
                <c:f>(Sheet1!$I$20:$I$21,Sheet1!$I$23:$I$24,Sheet1!$I$26:$I$27)</c:f>
                <c:numCache>
                  <c:formatCode>General</c:formatCode>
                  <c:ptCount val="6"/>
                  <c:pt idx="0">
                    <c:v>0.34256333135257377</c:v>
                  </c:pt>
                  <c:pt idx="1">
                    <c:v>0.23694558041543845</c:v>
                  </c:pt>
                  <c:pt idx="2">
                    <c:v>0.21888744615729117</c:v>
                  </c:pt>
                  <c:pt idx="3">
                    <c:v>0.95210393202466737</c:v>
                  </c:pt>
                  <c:pt idx="4">
                    <c:v>0.29082241605752313</c:v>
                  </c:pt>
                  <c:pt idx="5">
                    <c:v>0.24087268294520126</c:v>
                  </c:pt>
                </c:numCache>
              </c:numRef>
            </c:minus>
            <c:spPr>
              <a:noFill/>
              <a:ln w="9525" cap="flat" cmpd="sng" algn="ctr">
                <a:solidFill>
                  <a:schemeClr val="tx1">
                    <a:lumMod val="65000"/>
                    <a:lumOff val="35000"/>
                  </a:schemeClr>
                </a:solidFill>
                <a:round/>
              </a:ln>
              <a:effectLst/>
            </c:spPr>
          </c:errBars>
          <c:x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xVal>
          <c:yVal>
            <c:numRef>
              <c:f>(Sheet1!$M$20:$M$21,Sheet1!$M$23:$M$24,Sheet1!$M$26:$M$27)</c:f>
              <c:numCache>
                <c:formatCode>###0.000</c:formatCode>
                <c:ptCount val="6"/>
                <c:pt idx="0">
                  <c:v>0.5</c:v>
                </c:pt>
                <c:pt idx="1">
                  <c:v>1.5</c:v>
                </c:pt>
                <c:pt idx="2">
                  <c:v>2.5</c:v>
                </c:pt>
                <c:pt idx="3">
                  <c:v>3.5</c:v>
                </c:pt>
                <c:pt idx="4">
                  <c:v>4.5</c:v>
                </c:pt>
                <c:pt idx="5">
                  <c:v>5.5</c:v>
                </c:pt>
              </c:numCache>
            </c:numRef>
          </c:yVal>
          <c:smooth val="0"/>
          <c:extLst>
            <c:ext xmlns:c16="http://schemas.microsoft.com/office/drawing/2014/chart" uri="{C3380CC4-5D6E-409C-BE32-E72D297353CC}">
              <c16:uniqueId val="{00000001-AE6A-4E07-AE0D-235BDA26197C}"/>
            </c:ext>
          </c:extLst>
        </c:ser>
        <c:dLbls>
          <c:showLegendKey val="0"/>
          <c:showVal val="0"/>
          <c:showCatName val="0"/>
          <c:showSerName val="0"/>
          <c:showPercent val="0"/>
          <c:showBubbleSize val="0"/>
        </c:dLbls>
        <c:axId val="829469359"/>
        <c:axId val="829472687"/>
      </c:scatterChart>
      <c:catAx>
        <c:axId val="705237663"/>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05235999"/>
        <c:crosses val="autoZero"/>
        <c:auto val="1"/>
        <c:lblAlgn val="ctr"/>
        <c:lblOffset val="100"/>
        <c:noMultiLvlLbl val="0"/>
      </c:catAx>
      <c:valAx>
        <c:axId val="705235999"/>
        <c:scaling>
          <c:orientation val="minMax"/>
        </c:scaling>
        <c:delete val="0"/>
        <c:axPos val="b"/>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237663"/>
        <c:crosses val="autoZero"/>
        <c:crossBetween val="between"/>
        <c:majorUnit val="1"/>
      </c:valAx>
      <c:valAx>
        <c:axId val="829472687"/>
        <c:scaling>
          <c:orientation val="minMax"/>
        </c:scaling>
        <c:delete val="1"/>
        <c:axPos val="r"/>
        <c:numFmt formatCode="###0.000" sourceLinked="1"/>
        <c:majorTickMark val="out"/>
        <c:minorTickMark val="none"/>
        <c:tickLblPos val="nextTo"/>
        <c:crossAx val="829469359"/>
        <c:crosses val="max"/>
        <c:crossBetween val="midCat"/>
      </c:valAx>
      <c:valAx>
        <c:axId val="829469359"/>
        <c:scaling>
          <c:orientation val="minMax"/>
        </c:scaling>
        <c:delete val="1"/>
        <c:axPos val="b"/>
        <c:numFmt formatCode="###0.000" sourceLinked="1"/>
        <c:majorTickMark val="out"/>
        <c:minorTickMark val="none"/>
        <c:tickLblPos val="nextTo"/>
        <c:crossAx val="82947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0.38983</cdr:x>
      <cdr:y>0</cdr:y>
    </cdr:from>
    <cdr:to>
      <cdr:x>0.6064</cdr:x>
      <cdr:y>0.1094</cdr:y>
    </cdr:to>
    <cdr:sp macro="" textlink="">
      <cdr:nvSpPr>
        <cdr:cNvPr id="2" name="TextBox 1">
          <a:extLst xmlns:a="http://schemas.openxmlformats.org/drawingml/2006/main">
            <a:ext uri="{FF2B5EF4-FFF2-40B4-BE49-F238E27FC236}">
              <a16:creationId xmlns:a16="http://schemas.microsoft.com/office/drawing/2014/main" id="{63EA89F4-7819-4F70-9DB7-874A44396494}"/>
            </a:ext>
          </a:extLst>
        </cdr:cNvPr>
        <cdr:cNvSpPr txBox="1"/>
      </cdr:nvSpPr>
      <cdr:spPr>
        <a:xfrm xmlns:a="http://schemas.openxmlformats.org/drawingml/2006/main">
          <a:off x="1971676" y="0"/>
          <a:ext cx="1095360" cy="3047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a:t>Hazard Ratio</a:t>
          </a:r>
        </a:p>
      </cdr:txBody>
    </cdr:sp>
  </cdr:relSizeAnchor>
  <cdr:relSizeAnchor xmlns:cdr="http://schemas.openxmlformats.org/drawingml/2006/chartDrawing">
    <cdr:from>
      <cdr:x>0.41055</cdr:x>
      <cdr:y>0.09916</cdr:y>
    </cdr:from>
    <cdr:to>
      <cdr:x>0.41055</cdr:x>
      <cdr:y>0.90951</cdr:y>
    </cdr:to>
    <cdr:cxnSp macro="">
      <cdr:nvCxnSpPr>
        <cdr:cNvPr id="4" name="Straight Connector 3"/>
        <cdr:cNvCxnSpPr/>
      </cdr:nvCxnSpPr>
      <cdr:spPr>
        <a:xfrm xmlns:a="http://schemas.openxmlformats.org/drawingml/2006/main" flipV="1">
          <a:off x="2076450" y="276225"/>
          <a:ext cx="0" cy="22574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7D32A05793C4FB9813EE0130F3C2D" ma:contentTypeVersion="4" ma:contentTypeDescription="Create a new document." ma:contentTypeScope="" ma:versionID="a075b26006931dd4a030f8f48051a397">
  <xsd:schema xmlns:xsd="http://www.w3.org/2001/XMLSchema" xmlns:xs="http://www.w3.org/2001/XMLSchema" xmlns:p="http://schemas.microsoft.com/office/2006/metadata/properties" xmlns:ns3="afbf48f9-05a7-4013-a7f3-1da14bbf5edc" targetNamespace="http://schemas.microsoft.com/office/2006/metadata/properties" ma:root="true" ma:fieldsID="946bb64d0f78b5c1da1f46c8aaaf98da" ns3:_="">
    <xsd:import namespace="afbf48f9-05a7-4013-a7f3-1da14bbf5e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f48f9-05a7-4013-a7f3-1da14bbf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67CCD4-94B4-4DED-B605-5C099950B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f48f9-05a7-4013-a7f3-1da14bbf5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3.xml><?xml version="1.0" encoding="utf-8"?>
<ds:datastoreItem xmlns:ds="http://schemas.openxmlformats.org/officeDocument/2006/customXml" ds:itemID="{C9CF1421-3473-474A-A6FD-BA41B8E42509}">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12E968DB-7CD7-4766-847C-B465ABF65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67</Pages>
  <Words>13806</Words>
  <Characters>78700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92322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420</cp:revision>
  <dcterms:created xsi:type="dcterms:W3CDTF">2021-06-28T19:57:00Z</dcterms:created>
  <dcterms:modified xsi:type="dcterms:W3CDTF">2021-07-23T22:50:00Z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ContentTypeId">
    <vt:lpwstr>0x0101001E37D32A05793C4FB9813EE0130F3C2D</vt:lpwstr>
  </property>
</Properties>
</file>