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1FFD2" w14:textId="41FA463D" w:rsidR="00054D97" w:rsidRPr="00D15DD8" w:rsidRDefault="00054D97" w:rsidP="00730FF1">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Abstract</w:t>
      </w:r>
    </w:p>
    <w:p w14:paraId="3055F186" w14:textId="4F62A374" w:rsidR="009258F2" w:rsidRPr="00D15DD8"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114ACF">
        <w:rPr>
          <w:rFonts w:ascii="Times New Roman" w:hAnsi="Times New Roman" w:cs="Times New Roman"/>
          <w:sz w:val="24"/>
          <w:szCs w:val="24"/>
        </w:rPr>
        <w:t xml:space="preserve">which has led to many studies being </w:t>
      </w:r>
      <w:r w:rsidR="0044024C">
        <w:rPr>
          <w:rFonts w:ascii="Times New Roman" w:hAnsi="Times New Roman" w:cs="Times New Roman"/>
          <w:sz w:val="24"/>
          <w:szCs w:val="24"/>
        </w:rPr>
        <w:t>published</w:t>
      </w:r>
      <w:r w:rsidR="0044024C" w:rsidRPr="00D15DD8">
        <w:rPr>
          <w:rFonts w:ascii="Times New Roman" w:eastAsia="Times New Roman" w:hAnsi="Times New Roman" w:cs="Times New Roman"/>
          <w:color w:val="000000"/>
          <w:sz w:val="24"/>
          <w:szCs w:val="24"/>
        </w:rPr>
        <w:t xml:space="preserve"> (</w:t>
      </w:r>
      <w:r w:rsidR="009258F2" w:rsidRPr="00D15DD8">
        <w:rPr>
          <w:rFonts w:ascii="Times New Roman" w:eastAsia="Times New Roman" w:hAnsi="Times New Roman" w:cs="Times New Roman"/>
          <w:i/>
          <w:iCs/>
          <w:color w:val="000000"/>
          <w:sz w:val="24"/>
          <w:szCs w:val="24"/>
        </w:rPr>
        <w:t>The Cancer Genome Atlas Program</w:t>
      </w:r>
      <w:r w:rsidR="009258F2" w:rsidRPr="00D15DD8">
        <w:rPr>
          <w:rFonts w:ascii="Times New Roman" w:eastAsia="Times New Roman" w:hAnsi="Times New Roman" w:cs="Times New Roman"/>
          <w:color w:val="000000"/>
          <w:sz w:val="24"/>
          <w:szCs w:val="24"/>
        </w:rPr>
        <w:t>, 2019).</w:t>
      </w:r>
      <w:r w:rsidR="0035181F" w:rsidRPr="00D15DD8">
        <w:rPr>
          <w:rFonts w:ascii="Times New Roman" w:eastAsia="Times New Roman" w:hAnsi="Times New Roman" w:cs="Times New Roman"/>
          <w:color w:val="000000"/>
          <w:sz w:val="24"/>
          <w:szCs w:val="24"/>
        </w:rPr>
        <w:t xml:space="preserve">  This study</w:t>
      </w:r>
      <w:r w:rsidR="00114ACF">
        <w:rPr>
          <w:rFonts w:ascii="Times New Roman" w:eastAsia="Times New Roman" w:hAnsi="Times New Roman" w:cs="Times New Roman"/>
          <w:color w:val="000000"/>
          <w:sz w:val="24"/>
          <w:szCs w:val="24"/>
        </w:rPr>
        <w:t>, also from TCGA,</w:t>
      </w:r>
      <w:r w:rsidR="0035181F" w:rsidRPr="00D15DD8">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w:t>
      </w:r>
      <w:r w:rsidR="00EB662E">
        <w:rPr>
          <w:rFonts w:ascii="Times New Roman" w:eastAsia="Times New Roman" w:hAnsi="Times New Roman" w:cs="Times New Roman"/>
          <w:color w:val="000000"/>
          <w:sz w:val="24"/>
          <w:szCs w:val="24"/>
        </w:rPr>
        <w:t xml:space="preserve">collagen gene </w:t>
      </w:r>
      <w:r w:rsidR="00113DB7" w:rsidRPr="00D15DD8">
        <w:rPr>
          <w:rFonts w:ascii="Times New Roman" w:eastAsia="Times New Roman" w:hAnsi="Times New Roman" w:cs="Times New Roman"/>
          <w:color w:val="000000"/>
          <w:sz w:val="24"/>
          <w:szCs w:val="24"/>
        </w:rPr>
        <w:t>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xml:space="preserve">.   Data </w:t>
      </w:r>
      <w:r w:rsidR="00114ACF">
        <w:rPr>
          <w:rFonts w:ascii="Times New Roman" w:eastAsia="Times New Roman" w:hAnsi="Times New Roman" w:cs="Times New Roman"/>
          <w:color w:val="000000"/>
          <w:sz w:val="24"/>
          <w:szCs w:val="24"/>
        </w:rPr>
        <w:t>cleaning</w:t>
      </w:r>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w:t>
      </w:r>
      <w:r w:rsidR="0075229D">
        <w:rPr>
          <w:rFonts w:ascii="Times New Roman" w:eastAsia="Times New Roman" w:hAnsi="Times New Roman" w:cs="Times New Roman"/>
          <w:color w:val="000000"/>
          <w:sz w:val="24"/>
          <w:szCs w:val="24"/>
        </w:rPr>
        <w:t xml:space="preserve">and analysis </w:t>
      </w:r>
      <w:r w:rsidR="00113DB7" w:rsidRPr="00D15DD8">
        <w:rPr>
          <w:rFonts w:ascii="Times New Roman" w:eastAsia="Times New Roman" w:hAnsi="Times New Roman" w:cs="Times New Roman"/>
          <w:color w:val="000000"/>
          <w:sz w:val="24"/>
          <w:szCs w:val="24"/>
        </w:rPr>
        <w:t xml:space="preserve">was performed in </w:t>
      </w:r>
      <w:r w:rsidR="0075229D">
        <w:rPr>
          <w:rFonts w:ascii="Times New Roman" w:eastAsia="Times New Roman" w:hAnsi="Times New Roman" w:cs="Times New Roman"/>
          <w:color w:val="000000"/>
          <w:sz w:val="24"/>
          <w:szCs w:val="24"/>
        </w:rPr>
        <w:t>RStudio</w:t>
      </w:r>
      <w:r w:rsidR="00113DB7" w:rsidRPr="00D15DD8">
        <w:rPr>
          <w:rFonts w:ascii="Times New Roman" w:eastAsia="Times New Roman" w:hAnsi="Times New Roman" w:cs="Times New Roman"/>
          <w:color w:val="000000"/>
          <w:sz w:val="24"/>
          <w:szCs w:val="24"/>
        </w:rPr>
        <w:t xml:space="preserve">.  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Results found </w:t>
      </w:r>
      <w:r w:rsidR="000C0C84">
        <w:rPr>
          <w:rFonts w:ascii="Times New Roman" w:eastAsia="Times New Roman" w:hAnsi="Times New Roman" w:cs="Times New Roman"/>
          <w:color w:val="000000"/>
          <w:sz w:val="24"/>
          <w:szCs w:val="24"/>
        </w:rPr>
        <w:t xml:space="preserve">that </w:t>
      </w:r>
      <w:r w:rsidR="00113DB7" w:rsidRPr="00D15DD8">
        <w:rPr>
          <w:rFonts w:ascii="Times New Roman" w:eastAsia="Times New Roman" w:hAnsi="Times New Roman" w:cs="Times New Roman"/>
          <w:color w:val="000000"/>
          <w:sz w:val="24"/>
          <w:szCs w:val="24"/>
        </w:rPr>
        <w:t xml:space="preserve">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0C0C84">
        <w:rPr>
          <w:rFonts w:ascii="Times New Roman" w:eastAsia="Times New Roman" w:hAnsi="Times New Roman" w:cs="Times New Roman"/>
          <w:color w:val="000000"/>
          <w:sz w:val="24"/>
          <w:szCs w:val="24"/>
        </w:rPr>
        <w:t xml:space="preserve"> to all have</w:t>
      </w:r>
      <w:r w:rsidR="00113DB7" w:rsidRPr="00D15DD8">
        <w:rPr>
          <w:rFonts w:ascii="Times New Roman" w:eastAsia="Times New Roman" w:hAnsi="Times New Roman" w:cs="Times New Roman"/>
          <w:color w:val="000000"/>
          <w:sz w:val="24"/>
          <w:szCs w:val="24"/>
        </w:rPr>
        <w:t xml:space="preserve"> statistical</w:t>
      </w:r>
      <w:r w:rsidR="000C0C84">
        <w:rPr>
          <w:rFonts w:ascii="Times New Roman" w:eastAsia="Times New Roman" w:hAnsi="Times New Roman" w:cs="Times New Roman"/>
          <w:color w:val="000000"/>
          <w:sz w:val="24"/>
          <w:szCs w:val="24"/>
        </w:rPr>
        <w:t>ly</w:t>
      </w:r>
      <w:r w:rsidR="00113DB7" w:rsidRPr="00D15DD8">
        <w:rPr>
          <w:rFonts w:ascii="Times New Roman" w:eastAsia="Times New Roman" w:hAnsi="Times New Roman" w:cs="Times New Roman"/>
          <w:color w:val="000000"/>
          <w:sz w:val="24"/>
          <w:szCs w:val="24"/>
        </w:rPr>
        <w:t xml:space="preserve"> significance </w:t>
      </w:r>
      <w:r w:rsidR="000C0C84">
        <w:rPr>
          <w:rFonts w:ascii="Times New Roman" w:eastAsia="Times New Roman" w:hAnsi="Times New Roman" w:cs="Times New Roman"/>
          <w:color w:val="000000"/>
          <w:sz w:val="24"/>
          <w:szCs w:val="24"/>
        </w:rPr>
        <w:t xml:space="preserve">relationships between decreased survival </w:t>
      </w:r>
      <w:r w:rsidR="008A3B34">
        <w:rPr>
          <w:rFonts w:ascii="Times New Roman" w:eastAsia="Times New Roman" w:hAnsi="Times New Roman" w:cs="Times New Roman"/>
          <w:color w:val="000000"/>
          <w:sz w:val="24"/>
          <w:szCs w:val="24"/>
        </w:rPr>
        <w:t>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F131F6">
        <w:rPr>
          <w:rFonts w:ascii="Times New Roman" w:eastAsia="Times New Roman" w:hAnsi="Times New Roman" w:cs="Times New Roman"/>
          <w:color w:val="000000"/>
          <w:sz w:val="24"/>
          <w:szCs w:val="24"/>
        </w:rPr>
        <w:t xml:space="preserve">supports current literature and </w:t>
      </w:r>
      <w:r w:rsidR="000E3D65">
        <w:rPr>
          <w:rFonts w:ascii="Times New Roman" w:eastAsia="Times New Roman" w:hAnsi="Times New Roman" w:cs="Times New Roman"/>
          <w:color w:val="000000"/>
          <w:sz w:val="24"/>
          <w:szCs w:val="24"/>
        </w:rPr>
        <w:t>provides further evidence</w:t>
      </w:r>
      <w:r w:rsidR="00316DAE" w:rsidRPr="00D15DD8">
        <w:rPr>
          <w:rFonts w:ascii="Times New Roman" w:eastAsia="Times New Roman" w:hAnsi="Times New Roman" w:cs="Times New Roman"/>
          <w:color w:val="000000"/>
          <w:sz w:val="24"/>
          <w:szCs w:val="24"/>
        </w:rPr>
        <w:t xml:space="preserve"> that collagen </w:t>
      </w:r>
      <w:r w:rsidR="00F131F6">
        <w:rPr>
          <w:rFonts w:ascii="Times New Roman" w:eastAsia="Times New Roman" w:hAnsi="Times New Roman" w:cs="Times New Roman"/>
          <w:color w:val="000000"/>
          <w:sz w:val="24"/>
          <w:szCs w:val="24"/>
        </w:rPr>
        <w:t>gene copy number variations</w:t>
      </w:r>
      <w:r w:rsidR="000E3D65">
        <w:rPr>
          <w:rFonts w:ascii="Times New Roman" w:eastAsia="Times New Roman" w:hAnsi="Times New Roman" w:cs="Times New Roman"/>
          <w:color w:val="000000"/>
          <w:sz w:val="24"/>
          <w:szCs w:val="24"/>
        </w:rPr>
        <w:t xml:space="preserve"> </w:t>
      </w:r>
      <w:r w:rsidR="00F131F6">
        <w:rPr>
          <w:rFonts w:ascii="Times New Roman" w:eastAsia="Times New Roman" w:hAnsi="Times New Roman" w:cs="Times New Roman"/>
          <w:color w:val="000000"/>
          <w:sz w:val="24"/>
          <w:szCs w:val="24"/>
        </w:rPr>
        <w:t xml:space="preserve">can </w:t>
      </w:r>
      <w:r w:rsidR="000E3D65">
        <w:rPr>
          <w:rFonts w:ascii="Times New Roman" w:eastAsia="Times New Roman" w:hAnsi="Times New Roman" w:cs="Times New Roman"/>
          <w:color w:val="000000"/>
          <w:sz w:val="24"/>
          <w:szCs w:val="24"/>
        </w:rPr>
        <w:t>have</w:t>
      </w:r>
      <w:r w:rsidR="00316DAE" w:rsidRPr="00D15DD8">
        <w:rPr>
          <w:rFonts w:ascii="Times New Roman" w:eastAsia="Times New Roman" w:hAnsi="Times New Roman" w:cs="Times New Roman"/>
          <w:color w:val="000000"/>
          <w:sz w:val="24"/>
          <w:szCs w:val="24"/>
        </w:rPr>
        <w:t xml:space="preserve"> multiple effects on tumor</w:t>
      </w:r>
      <w:r w:rsidR="00F131F6">
        <w:rPr>
          <w:rFonts w:ascii="Times New Roman" w:eastAsia="Times New Roman" w:hAnsi="Times New Roman" w:cs="Times New Roman"/>
          <w:color w:val="000000"/>
          <w:sz w:val="24"/>
          <w:szCs w:val="24"/>
        </w:rPr>
        <w:t>igenesis</w:t>
      </w:r>
      <w:r w:rsidR="00316DAE" w:rsidRPr="00D15DD8">
        <w:rPr>
          <w:rFonts w:ascii="Times New Roman" w:eastAsia="Times New Roman" w:hAnsi="Times New Roman" w:cs="Times New Roman"/>
          <w:color w:val="000000"/>
          <w:sz w:val="24"/>
          <w:szCs w:val="24"/>
        </w:rPr>
        <w:t xml:space="preserve"> in ovarian </w:t>
      </w:r>
      <w:r w:rsidR="00F131F6">
        <w:rPr>
          <w:rFonts w:ascii="Times New Roman" w:eastAsia="Times New Roman" w:hAnsi="Times New Roman" w:cs="Times New Roman"/>
          <w:color w:val="000000"/>
          <w:sz w:val="24"/>
          <w:szCs w:val="24"/>
        </w:rPr>
        <w:t>neoplasm patient survival.</w:t>
      </w:r>
    </w:p>
    <w:p w14:paraId="0434271C" w14:textId="62232FA7" w:rsidR="0082021C" w:rsidRPr="00D15DD8" w:rsidRDefault="00054D97" w:rsidP="00730FF1">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I</w:t>
      </w:r>
      <w:r w:rsidR="00646509" w:rsidRPr="00D15DD8">
        <w:rPr>
          <w:rFonts w:ascii="Times New Roman" w:hAnsi="Times New Roman" w:cs="Times New Roman"/>
          <w:b/>
          <w:bCs/>
          <w:sz w:val="24"/>
          <w:szCs w:val="24"/>
        </w:rPr>
        <w:t>ntroduction</w:t>
      </w:r>
    </w:p>
    <w:p w14:paraId="685AF6E9" w14:textId="50E6CF0A"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(Liu et al., 2018)</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w:t>
      </w:r>
      <w:r w:rsidR="00662C7A">
        <w:rPr>
          <w:rFonts w:ascii="Times New Roman" w:hAnsi="Times New Roman" w:cs="Times New Roman"/>
          <w:sz w:val="24"/>
          <w:szCs w:val="24"/>
        </w:rPr>
        <w:t>neoplasm</w:t>
      </w:r>
      <w:r w:rsidR="008B3368" w:rsidRPr="00D15DD8">
        <w:rPr>
          <w:rFonts w:ascii="Times New Roman" w:hAnsi="Times New Roman" w:cs="Times New Roman"/>
          <w:sz w:val="24"/>
          <w:szCs w:val="24"/>
        </w:rPr>
        <w:t xml:space="preserve"> types with </w:t>
      </w:r>
      <w:r w:rsidR="00302CDB" w:rsidRPr="00D15DD8">
        <w:rPr>
          <w:rFonts w:ascii="Times New Roman" w:hAnsi="Times New Roman" w:cs="Times New Roman"/>
          <w:sz w:val="24"/>
          <w:szCs w:val="24"/>
        </w:rPr>
        <w:t>numerous</w:t>
      </w:r>
      <w:r w:rsidR="008B3368" w:rsidRPr="00D15DD8">
        <w:rPr>
          <w:rFonts w:ascii="Times New Roman" w:hAnsi="Times New Roman" w:cs="Times New Roman"/>
          <w:sz w:val="24"/>
          <w:szCs w:val="24"/>
        </w:rPr>
        <w:t xml:space="preserv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w:t>
      </w:r>
      <w:r w:rsidR="00EE5185">
        <w:rPr>
          <w:rFonts w:ascii="Times New Roman" w:hAnsi="Times New Roman" w:cs="Times New Roman"/>
          <w:sz w:val="24"/>
          <w:szCs w:val="24"/>
        </w:rPr>
        <w:t xml:space="preserve"> novel</w:t>
      </w:r>
      <w:r w:rsidR="00EA5062" w:rsidRPr="00D15DD8">
        <w:rPr>
          <w:rFonts w:ascii="Times New Roman" w:hAnsi="Times New Roman" w:cs="Times New Roman"/>
          <w:sz w:val="24"/>
          <w:szCs w:val="24"/>
        </w:rPr>
        <w:t xml:space="preserve"> discoveries </w:t>
      </w:r>
      <w:r w:rsidR="00EE5185">
        <w:rPr>
          <w:rFonts w:ascii="Times New Roman" w:hAnsi="Times New Roman" w:cs="Times New Roman"/>
          <w:sz w:val="24"/>
          <w:szCs w:val="24"/>
        </w:rPr>
        <w:t xml:space="preserve">concerning </w:t>
      </w:r>
      <w:r w:rsidR="00EA5062" w:rsidRPr="00D15DD8">
        <w:rPr>
          <w:rFonts w:ascii="Times New Roman" w:hAnsi="Times New Roman" w:cs="Times New Roman"/>
          <w:sz w:val="24"/>
          <w:szCs w:val="24"/>
        </w:rPr>
        <w:t>ovarian cancer</w:t>
      </w:r>
      <w:r w:rsidR="0029659B">
        <w:rPr>
          <w:rFonts w:ascii="Times New Roman" w:hAnsi="Times New Roman" w:cs="Times New Roman"/>
          <w:sz w:val="24"/>
          <w:szCs w:val="24"/>
        </w:rPr>
        <w:t xml:space="preserve"> </w:t>
      </w:r>
      <w:r w:rsidR="0029659B" w:rsidRPr="0029659B">
        <w:rPr>
          <w:rFonts w:ascii="Times New Roman" w:eastAsia="Times New Roman" w:hAnsi="Times New Roman" w:cs="Times New Roman"/>
          <w:color w:val="000000"/>
          <w:sz w:val="24"/>
          <w:szCs w:val="24"/>
        </w:rPr>
        <w:t>(TCGA - Ovarian Serous Adenocarcinoma Study, 2018)</w:t>
      </w:r>
      <w:r w:rsidR="008B3368" w:rsidRPr="00D15DD8">
        <w:rPr>
          <w:rFonts w:ascii="Times New Roman" w:hAnsi="Times New Roman" w:cs="Times New Roman"/>
          <w:sz w:val="24"/>
          <w:szCs w:val="24"/>
        </w:rPr>
        <w:t>.</w:t>
      </w:r>
    </w:p>
    <w:p w14:paraId="57BD73E4" w14:textId="567BBDFF" w:rsidR="00FD34CC"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considered the most lethal gynecological cancer type</w:t>
      </w:r>
      <w:r w:rsidRPr="00D15DD8">
        <w:rPr>
          <w:rFonts w:ascii="Times New Roman" w:hAnsi="Times New Roman" w:cs="Times New Roman"/>
          <w:sz w:val="24"/>
          <w:szCs w:val="24"/>
        </w:rPr>
        <w:t xml:space="preserve"> (Cancer.org, 2014).  One </w:t>
      </w:r>
      <w:r w:rsidR="00311D2F">
        <w:rPr>
          <w:rFonts w:ascii="Times New Roman" w:hAnsi="Times New Roman" w:cs="Times New Roman"/>
          <w:sz w:val="24"/>
          <w:szCs w:val="24"/>
        </w:rPr>
        <w:t xml:space="preserve">factor to be considered in </w:t>
      </w:r>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as </w:t>
      </w:r>
      <w:r w:rsidRPr="00D15DD8">
        <w:rPr>
          <w:rFonts w:ascii="Times New Roman" w:hAnsi="Times New Roman" w:cs="Times New Roman"/>
          <w:sz w:val="24"/>
          <w:szCs w:val="24"/>
        </w:rPr>
        <w:lastRenderedPageBreak/>
        <w:t>various mechanisms have been discovered</w:t>
      </w:r>
      <w:r w:rsidR="00EA5062" w:rsidRPr="00D15DD8">
        <w:rPr>
          <w:rFonts w:ascii="Times New Roman" w:hAnsi="Times New Roman" w:cs="Times New Roman"/>
          <w:sz w:val="24"/>
          <w:szCs w:val="24"/>
        </w:rPr>
        <w:t xml:space="preserve"> with regards to function in ovarian tumors</w:t>
      </w:r>
      <w:r w:rsidR="00566998">
        <w:rPr>
          <w:rFonts w:ascii="Times New Roman" w:hAnsi="Times New Roman" w:cs="Times New Roman"/>
          <w:sz w:val="24"/>
          <w:szCs w:val="24"/>
        </w:rPr>
        <w:t>;</w:t>
      </w:r>
      <w:r w:rsidRPr="00D15DD8">
        <w:rPr>
          <w:rFonts w:ascii="Times New Roman" w:hAnsi="Times New Roman" w:cs="Times New Roman"/>
          <w:sz w:val="24"/>
          <w:szCs w:val="24"/>
        </w:rPr>
        <w:t xml:space="preserve"> however, </w:t>
      </w:r>
      <w:r w:rsidR="00BB5DAE" w:rsidRPr="00D15DD8">
        <w:rPr>
          <w:rFonts w:ascii="Times New Roman" w:hAnsi="Times New Roman" w:cs="Times New Roman"/>
          <w:sz w:val="24"/>
          <w:szCs w:val="24"/>
        </w:rPr>
        <w:t>further</w:t>
      </w:r>
      <w:r w:rsidRPr="00D15DD8">
        <w:rPr>
          <w:rFonts w:ascii="Times New Roman" w:hAnsi="Times New Roman" w:cs="Times New Roman"/>
          <w:sz w:val="24"/>
          <w:szCs w:val="24"/>
        </w:rPr>
        <w:t xml:space="preserv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(Ricciardelli &amp; Rodgers, 2006).</w:t>
      </w:r>
    </w:p>
    <w:p w14:paraId="1E4850EC" w14:textId="534CE57A" w:rsidR="00037C80" w:rsidRPr="00D15DD8" w:rsidRDefault="00037C80"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is an extracellular matrix </w:t>
      </w:r>
      <w:r w:rsidR="00474930">
        <w:rPr>
          <w:rFonts w:ascii="Times New Roman" w:eastAsia="Times New Roman" w:hAnsi="Times New Roman" w:cs="Times New Roman"/>
          <w:color w:val="000000"/>
          <w:sz w:val="24"/>
          <w:szCs w:val="24"/>
        </w:rPr>
        <w:t xml:space="preserve">(ECM) </w:t>
      </w:r>
      <w:r>
        <w:rPr>
          <w:rFonts w:ascii="Times New Roman" w:eastAsia="Times New Roman" w:hAnsi="Times New Roman" w:cs="Times New Roman"/>
          <w:color w:val="000000"/>
          <w:sz w:val="24"/>
          <w:szCs w:val="24"/>
        </w:rPr>
        <w:t>that forms a barrier around organs and blood vessels (Dipiro et al., 2017, p. 917).</w:t>
      </w:r>
      <w:r w:rsidR="00170BA5">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There are multiple factors which contribute to the growth</w:t>
      </w:r>
      <w:r w:rsidR="00474930" w:rsidRPr="00474930">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of tumors including ECM remodeling, various growth factors, and other tissue inhibitors.  Collagen is an essential component in homeostasis and changes in the ECM, such as ECM remodeling, are implicated in ovarian neoplasm advancement (Cho et al., 2015).  This study evaluates collagen gene copy number variation relationships with patient survival.</w:t>
      </w:r>
    </w:p>
    <w:p w14:paraId="5387D2CB" w14:textId="7F5D10D0" w:rsidR="001E139E" w:rsidRDefault="001E139E" w:rsidP="00730FF1">
      <w:pPr>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In this study, Kaplan-Meier survival analysis</w:t>
      </w:r>
      <w:r w:rsidR="004E6E7C">
        <w:rPr>
          <w:rFonts w:ascii="Times New Roman" w:hAnsi="Times New Roman" w:cs="Times New Roman"/>
          <w:sz w:val="24"/>
          <w:szCs w:val="24"/>
        </w:rPr>
        <w:t xml:space="preserve"> (KM)</w:t>
      </w:r>
      <w:r w:rsidRPr="00D15DD8">
        <w:rPr>
          <w:rFonts w:ascii="Times New Roman" w:hAnsi="Times New Roman" w:cs="Times New Roman"/>
          <w:sz w:val="24"/>
          <w:szCs w:val="24"/>
        </w:rPr>
        <w:t xml:space="preserve">, log-rank tests, and Cox-proportional hazard modeling </w:t>
      </w:r>
      <w:r w:rsidR="00563FD4">
        <w:rPr>
          <w:rFonts w:ascii="Times New Roman" w:hAnsi="Times New Roman" w:cs="Times New Roman"/>
          <w:sz w:val="24"/>
          <w:szCs w:val="24"/>
        </w:rPr>
        <w:t>was</w:t>
      </w:r>
      <w:r w:rsidRPr="00D15DD8">
        <w:rPr>
          <w:rFonts w:ascii="Times New Roman" w:hAnsi="Times New Roman" w:cs="Times New Roman"/>
          <w:sz w:val="24"/>
          <w:szCs w:val="24"/>
        </w:rPr>
        <w:t xml:space="preserve"> performed on </w:t>
      </w:r>
      <w:r w:rsidR="00474930">
        <w:rPr>
          <w:rFonts w:ascii="Times New Roman" w:hAnsi="Times New Roman" w:cs="Times New Roman"/>
          <w:sz w:val="24"/>
          <w:szCs w:val="24"/>
        </w:rPr>
        <w:t xml:space="preserve">ovarian cancer </w:t>
      </w:r>
      <w:r w:rsidRPr="00D15DD8">
        <w:rPr>
          <w:rFonts w:ascii="Times New Roman" w:hAnsi="Times New Roman" w:cs="Times New Roman"/>
          <w:sz w:val="24"/>
          <w:szCs w:val="24"/>
        </w:rPr>
        <w:t>patient copy number variation (CNV) mutations in 55 different collagen genes in ovarian cancer from the TCGA database.</w:t>
      </w:r>
      <w:r w:rsidR="00FC6F37">
        <w:rPr>
          <w:rFonts w:ascii="Times New Roman" w:hAnsi="Times New Roman" w:cs="Times New Roman"/>
          <w:sz w:val="24"/>
          <w:szCs w:val="24"/>
        </w:rPr>
        <w:t xml:space="preserve">  </w:t>
      </w:r>
      <w:r w:rsidR="00563FD4">
        <w:rPr>
          <w:rFonts w:ascii="Times New Roman" w:hAnsi="Times New Roman" w:cs="Times New Roman"/>
          <w:sz w:val="24"/>
          <w:szCs w:val="24"/>
        </w:rPr>
        <w:t xml:space="preserve">The null </w:t>
      </w:r>
      <w:r w:rsidR="002E24DD">
        <w:rPr>
          <w:rFonts w:ascii="Times New Roman" w:hAnsi="Times New Roman" w:cs="Times New Roman"/>
          <w:sz w:val="24"/>
          <w:szCs w:val="24"/>
        </w:rPr>
        <w:t>hypothes</w:t>
      </w:r>
      <w:r w:rsidR="00563FD4">
        <w:rPr>
          <w:rFonts w:ascii="Times New Roman" w:hAnsi="Times New Roman" w:cs="Times New Roman"/>
          <w:sz w:val="24"/>
          <w:szCs w:val="24"/>
        </w:rPr>
        <w:t>i</w:t>
      </w:r>
      <w:r w:rsidR="002E24DD">
        <w:rPr>
          <w:rFonts w:ascii="Times New Roman" w:hAnsi="Times New Roman" w:cs="Times New Roman"/>
          <w:sz w:val="24"/>
          <w:szCs w:val="24"/>
        </w:rPr>
        <w:t xml:space="preserve">s </w:t>
      </w:r>
      <w:r w:rsidR="00563FD4">
        <w:rPr>
          <w:rFonts w:ascii="Times New Roman" w:hAnsi="Times New Roman" w:cs="Times New Roman"/>
          <w:sz w:val="24"/>
          <w:szCs w:val="24"/>
        </w:rPr>
        <w:t>states</w:t>
      </w:r>
      <w:r w:rsidR="00FC6F37">
        <w:rPr>
          <w:rFonts w:ascii="Times New Roman" w:hAnsi="Times New Roman" w:cs="Times New Roman"/>
          <w:sz w:val="24"/>
          <w:szCs w:val="24"/>
        </w:rPr>
        <w:t xml:space="preserve"> there </w:t>
      </w:r>
      <w:r w:rsidR="002E24DD">
        <w:rPr>
          <w:rFonts w:ascii="Times New Roman" w:hAnsi="Times New Roman" w:cs="Times New Roman"/>
          <w:sz w:val="24"/>
          <w:szCs w:val="24"/>
        </w:rPr>
        <w:t>are</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w:t>
      </w:r>
      <w:r w:rsidR="00563FD4">
        <w:rPr>
          <w:rFonts w:ascii="Times New Roman" w:hAnsi="Times New Roman" w:cs="Times New Roman"/>
          <w:sz w:val="24"/>
          <w:szCs w:val="24"/>
        </w:rPr>
        <w:t>hypothesis</w:t>
      </w:r>
      <w:r w:rsidR="00A10174">
        <w:rPr>
          <w:rFonts w:ascii="Times New Roman" w:hAnsi="Times New Roman" w:cs="Times New Roman"/>
          <w:sz w:val="24"/>
          <w:szCs w:val="24"/>
        </w:rPr>
        <w:t xml:space="preserve"> </w:t>
      </w:r>
      <w:r w:rsidR="00AB7403">
        <w:rPr>
          <w:rFonts w:ascii="Times New Roman" w:hAnsi="Times New Roman" w:cs="Times New Roman"/>
          <w:sz w:val="24"/>
          <w:szCs w:val="24"/>
        </w:rPr>
        <w:t>indicates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that there is a </w:t>
      </w:r>
      <w:r w:rsidR="00A10174">
        <w:rPr>
          <w:rFonts w:ascii="Times New Roman" w:hAnsi="Times New Roman" w:cs="Times New Roman"/>
          <w:sz w:val="24"/>
          <w:szCs w:val="24"/>
        </w:rPr>
        <w:t>statistical difference in survival in ovarian cancer patients regarding CNV.</w:t>
      </w:r>
      <w:r w:rsidR="00AC3ED5">
        <w:rPr>
          <w:rFonts w:ascii="Times New Roman" w:hAnsi="Times New Roman" w:cs="Times New Roman"/>
          <w:sz w:val="24"/>
          <w:szCs w:val="24"/>
        </w:rPr>
        <w:t xml:space="preserve">  For survival analysis the dependent variable is the time to event</w:t>
      </w:r>
      <w:r w:rsidR="002E24DD">
        <w:rPr>
          <w:rFonts w:ascii="Times New Roman" w:hAnsi="Times New Roman" w:cs="Times New Roman"/>
          <w:sz w:val="24"/>
          <w:szCs w:val="24"/>
        </w:rPr>
        <w:t>, death, or loss of contact</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copy numbers</w:t>
      </w:r>
      <w:r w:rsidR="00AC3ED5">
        <w:rPr>
          <w:rFonts w:ascii="Times New Roman" w:hAnsi="Times New Roman" w:cs="Times New Roman"/>
          <w:sz w:val="24"/>
          <w:szCs w:val="24"/>
        </w:rPr>
        <w:t>.</w:t>
      </w:r>
    </w:p>
    <w:p w14:paraId="685147F9" w14:textId="5FD97C09" w:rsidR="0091483D" w:rsidRDefault="00255EFB" w:rsidP="009148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gene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we can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t>
      </w:r>
      <w:r w:rsidR="00563FD4">
        <w:rPr>
          <w:rFonts w:ascii="Times New Roman" w:hAnsi="Times New Roman" w:cs="Times New Roman"/>
          <w:sz w:val="24"/>
          <w:szCs w:val="24"/>
        </w:rPr>
        <w:t>in personalized medicine and target therapy.  Hopefully by increasing the genetic knowledge base, we can hope to achieve a significant impact on patient outcomes.</w:t>
      </w:r>
      <w:r w:rsidR="005158FB">
        <w:rPr>
          <w:rFonts w:ascii="Times New Roman" w:hAnsi="Times New Roman" w:cs="Times New Roman"/>
          <w:sz w:val="24"/>
          <w:szCs w:val="24"/>
        </w:rPr>
        <w:t xml:space="preserve">  This research has potential to assist the need for targeted collagen therapies in ovarian neoplasm treatment.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286A803A" w14:textId="6B9FA6C6" w:rsidR="00EF6FCF" w:rsidRPr="00F93ED0" w:rsidRDefault="00206D0B" w:rsidP="00730FF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lastRenderedPageBreak/>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However, TCGA data needs to be handled with respect and caution.  </w:t>
      </w:r>
      <w:r w:rsidR="00EF6FCF">
        <w:rPr>
          <w:rFonts w:ascii="Times New Roman" w:hAnsi="Times New Roman" w:cs="Times New Roman"/>
          <w:sz w:val="24"/>
          <w:szCs w:val="24"/>
        </w:rPr>
        <w:t xml:space="preserve">There are methods available that can re-identify patients based on medical data </w:t>
      </w:r>
      <w:r w:rsidR="00F93ED0">
        <w:rPr>
          <w:rFonts w:ascii="Times New Roman" w:hAnsi="Times New Roman" w:cs="Times New Roman"/>
          <w:sz w:val="24"/>
          <w:szCs w:val="24"/>
        </w:rPr>
        <w:t>(Rocher et al., 2019)</w:t>
      </w:r>
    </w:p>
    <w:p w14:paraId="4099C9D4" w14:textId="35D78733" w:rsidR="00E432B5" w:rsidRDefault="00EF6FCF" w:rsidP="00730FF1">
      <w:pPr>
        <w:shd w:val="clear" w:color="auto" w:fill="FFFFFF"/>
        <w:spacing w:line="480" w:lineRule="auto"/>
        <w:ind w:firstLine="720"/>
        <w:rPr>
          <w:rFonts w:ascii="Times New Roman" w:eastAsia="Times New Roman" w:hAnsi="Times New Roman" w:cs="Times New Roman"/>
          <w:color w:val="000000"/>
          <w:sz w:val="24"/>
          <w:szCs w:val="24"/>
        </w:rPr>
      </w:pPr>
      <w:r w:rsidRPr="00EF6FCF">
        <w:rPr>
          <w:rFonts w:ascii="Times New Roman" w:hAnsi="Times New Roman" w:cs="Times New Roman"/>
          <w:sz w:val="24"/>
          <w:szCs w:val="24"/>
        </w:rPr>
        <w:t>S</w:t>
      </w:r>
      <w:r w:rsidR="00D15DD8" w:rsidRPr="00D15DD8">
        <w:rPr>
          <w:rFonts w:ascii="Times New Roman" w:hAnsi="Times New Roman" w:cs="Times New Roman"/>
          <w:sz w:val="24"/>
          <w:szCs w:val="24"/>
        </w:rPr>
        <w:t xml:space="preserve">equence homology can </w:t>
      </w:r>
      <w:r w:rsidR="00490D82">
        <w:rPr>
          <w:rFonts w:ascii="Times New Roman" w:hAnsi="Times New Roman" w:cs="Times New Roman"/>
          <w:sz w:val="24"/>
          <w:szCs w:val="24"/>
        </w:rPr>
        <w:t>create</w:t>
      </w:r>
      <w:r w:rsidR="00D15DD8" w:rsidRPr="00D15DD8">
        <w:rPr>
          <w:rFonts w:ascii="Times New Roman" w:hAnsi="Times New Roman" w:cs="Times New Roman"/>
          <w:sz w:val="24"/>
          <w:szCs w:val="24"/>
        </w:rPr>
        <w:t xml:space="preserve"> </w:t>
      </w:r>
      <w:r w:rsidR="00490D82">
        <w:rPr>
          <w:rFonts w:ascii="Times New Roman" w:hAnsi="Times New Roman" w:cs="Times New Roman"/>
          <w:sz w:val="24"/>
          <w:szCs w:val="24"/>
        </w:rPr>
        <w:t>technical</w:t>
      </w:r>
      <w:r w:rsidR="00D15DD8" w:rsidRPr="00D15DD8">
        <w:rPr>
          <w:rFonts w:ascii="Times New Roman" w:hAnsi="Times New Roman" w:cs="Times New Roman"/>
          <w:sz w:val="24"/>
          <w:szCs w:val="24"/>
        </w:rPr>
        <w:t xml:space="preserve"> artifacts</w:t>
      </w:r>
      <w:r w:rsidR="00490D82">
        <w:rPr>
          <w:rFonts w:ascii="Times New Roman" w:hAnsi="Times New Roman" w:cs="Times New Roman"/>
          <w:sz w:val="24"/>
          <w:szCs w:val="24"/>
        </w:rPr>
        <w:t>,</w:t>
      </w:r>
      <w:r w:rsidR="00D15DD8" w:rsidRPr="00D15DD8">
        <w:rPr>
          <w:rFonts w:ascii="Times New Roman" w:hAnsi="Times New Roman" w:cs="Times New Roman"/>
          <w:sz w:val="24"/>
          <w:szCs w:val="24"/>
        </w:rPr>
        <w:t xml:space="preserve"> which in turn affects downstream analysis and mapping </w:t>
      </w:r>
      <w:r w:rsidR="00490D82">
        <w:rPr>
          <w:rFonts w:ascii="Times New Roman" w:hAnsi="Times New Roman" w:cs="Times New Roman"/>
          <w:sz w:val="24"/>
          <w:szCs w:val="24"/>
        </w:rPr>
        <w:t xml:space="preserve">which </w:t>
      </w:r>
      <w:r w:rsidR="00EC4BAD">
        <w:rPr>
          <w:rFonts w:ascii="Times New Roman" w:hAnsi="Times New Roman" w:cs="Times New Roman"/>
          <w:sz w:val="24"/>
          <w:szCs w:val="24"/>
        </w:rPr>
        <w:t xml:space="preserve">potentially also cause concerns </w:t>
      </w:r>
      <w:r w:rsidR="00D15DD8" w:rsidRPr="00D15DD8">
        <w:rPr>
          <w:rFonts w:ascii="Times New Roman" w:eastAsia="Times New Roman" w:hAnsi="Times New Roman" w:cs="Times New Roman"/>
          <w:color w:val="000000"/>
          <w:sz w:val="24"/>
          <w:szCs w:val="24"/>
        </w:rPr>
        <w:t>(Webster et al., 2019)</w:t>
      </w:r>
      <w:r w:rsidR="00D15DD8">
        <w:rPr>
          <w:rFonts w:ascii="Times New Roman" w:eastAsia="Times New Roman" w:hAnsi="Times New Roman" w:cs="Times New Roman"/>
          <w:color w:val="000000"/>
          <w:sz w:val="24"/>
          <w:szCs w:val="24"/>
        </w:rPr>
        <w:t>.  These sequence homologies are create</w:t>
      </w:r>
      <w:r w:rsidR="00E432B5">
        <w:rPr>
          <w:rFonts w:ascii="Times New Roman" w:eastAsia="Times New Roman" w:hAnsi="Times New Roman" w:cs="Times New Roman"/>
          <w:color w:val="000000"/>
          <w:sz w:val="24"/>
          <w:szCs w:val="24"/>
        </w:rPr>
        <w:t>d</w:t>
      </w:r>
      <w:r w:rsidR="00D15DD8">
        <w:rPr>
          <w:rFonts w:ascii="Times New Roman" w:eastAsia="Times New Roman" w:hAnsi="Times New Roman" w:cs="Times New Roman"/>
          <w:color w:val="000000"/>
          <w:sz w:val="24"/>
          <w:szCs w:val="24"/>
        </w:rPr>
        <w:t xml:space="preserve"> from </w:t>
      </w:r>
      <w:r w:rsidR="00E432B5">
        <w:rPr>
          <w:rFonts w:ascii="Times New Roman" w:eastAsia="Times New Roman" w:hAnsi="Times New Roman" w:cs="Times New Roman"/>
          <w:color w:val="000000"/>
          <w:sz w:val="24"/>
          <w:szCs w:val="24"/>
        </w:rPr>
        <w:t xml:space="preserve">shared evolutionary </w:t>
      </w:r>
      <w:r w:rsidR="00490D82">
        <w:rPr>
          <w:rFonts w:ascii="Times New Roman" w:eastAsia="Times New Roman" w:hAnsi="Times New Roman" w:cs="Times New Roman"/>
          <w:color w:val="000000"/>
          <w:sz w:val="24"/>
          <w:szCs w:val="24"/>
        </w:rPr>
        <w:t>roots</w:t>
      </w:r>
      <w:r w:rsidR="00E432B5">
        <w:rPr>
          <w:rFonts w:ascii="Times New Roman" w:eastAsia="Times New Roman" w:hAnsi="Times New Roman" w:cs="Times New Roman"/>
          <w:color w:val="000000"/>
          <w:sz w:val="24"/>
          <w:szCs w:val="24"/>
        </w:rPr>
        <w:t xml:space="preserve"> where DNA regions share high </w:t>
      </w:r>
      <w:r w:rsidR="00490D82">
        <w:rPr>
          <w:rFonts w:ascii="Times New Roman" w:eastAsia="Times New Roman" w:hAnsi="Times New Roman" w:cs="Times New Roman"/>
          <w:color w:val="000000"/>
          <w:sz w:val="24"/>
          <w:szCs w:val="24"/>
        </w:rPr>
        <w:t>similitude</w:t>
      </w:r>
      <w:r w:rsidR="00E432B5">
        <w:rPr>
          <w:rFonts w:ascii="Times New Roman" w:eastAsia="Times New Roman" w:hAnsi="Times New Roman" w:cs="Times New Roman"/>
          <w:color w:val="000000"/>
          <w:sz w:val="24"/>
          <w:szCs w:val="24"/>
        </w:rPr>
        <w:t xml:space="preserve">.  This </w:t>
      </w:r>
      <w:r w:rsidR="00490D82">
        <w:rPr>
          <w:rFonts w:ascii="Times New Roman" w:eastAsia="Times New Roman" w:hAnsi="Times New Roman" w:cs="Times New Roman"/>
          <w:color w:val="000000"/>
          <w:sz w:val="24"/>
          <w:szCs w:val="24"/>
        </w:rPr>
        <w:t xml:space="preserve">phenomenon </w:t>
      </w:r>
      <w:r w:rsidR="00E432B5">
        <w:rPr>
          <w:rFonts w:ascii="Times New Roman" w:eastAsia="Times New Roman" w:hAnsi="Times New Roman" w:cs="Times New Roman"/>
          <w:color w:val="000000"/>
          <w:sz w:val="24"/>
          <w:szCs w:val="24"/>
        </w:rPr>
        <w:t xml:space="preserve">has also been found in TCGA </w:t>
      </w:r>
      <w:r w:rsidR="00490D82">
        <w:rPr>
          <w:rFonts w:ascii="Times New Roman" w:eastAsia="Times New Roman" w:hAnsi="Times New Roman" w:cs="Times New Roman"/>
          <w:color w:val="000000"/>
          <w:sz w:val="24"/>
          <w:szCs w:val="24"/>
        </w:rPr>
        <w:t>data</w:t>
      </w:r>
      <w:r w:rsidR="00490D82" w:rsidRPr="00E432B5">
        <w:rPr>
          <w:rFonts w:ascii="Times New Roman" w:eastAsia="Times New Roman" w:hAnsi="Times New Roman" w:cs="Times New Roman"/>
          <w:color w:val="000000"/>
          <w:sz w:val="24"/>
          <w:szCs w:val="24"/>
        </w:rPr>
        <w:t xml:space="preserve"> (</w:t>
      </w:r>
      <w:r w:rsidR="00E432B5" w:rsidRPr="00E432B5">
        <w:rPr>
          <w:rFonts w:ascii="Times New Roman" w:eastAsia="Times New Roman" w:hAnsi="Times New Roman" w:cs="Times New Roman"/>
          <w:color w:val="000000"/>
          <w:sz w:val="24"/>
          <w:szCs w:val="24"/>
        </w:rPr>
        <w:t>Buckley et al., 2017)</w:t>
      </w:r>
      <w:r w:rsidR="00E432B5">
        <w:rPr>
          <w:rFonts w:ascii="Times New Roman" w:eastAsia="Times New Roman" w:hAnsi="Times New Roman" w:cs="Times New Roman"/>
          <w:color w:val="000000"/>
          <w:sz w:val="24"/>
          <w:szCs w:val="24"/>
        </w:rPr>
        <w:t>.</w:t>
      </w:r>
    </w:p>
    <w:p w14:paraId="73EE45DC" w14:textId="04879CA2" w:rsidR="00E432B5" w:rsidRDefault="00E432B5"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Ovarian cancer has been studied with regards to collagen in the past.  A Pub</w:t>
      </w:r>
      <w:r w:rsidR="009B5DE4">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ed literature search was performed using MeSH terms for “Ovarian Neoplasms” and “Collagen”.  Literature review was performed for 293 results regarding genetic studies involving collagen</w:t>
      </w:r>
      <w:r w:rsidR="003409F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ovarian </w:t>
      </w:r>
      <w:r w:rsidR="00E20001">
        <w:rPr>
          <w:rFonts w:ascii="Times New Roman" w:eastAsia="Times New Roman" w:hAnsi="Times New Roman" w:cs="Times New Roman"/>
          <w:color w:val="000000"/>
          <w:sz w:val="24"/>
          <w:szCs w:val="24"/>
        </w:rPr>
        <w:t>neoplasms</w:t>
      </w:r>
      <w:r>
        <w:rPr>
          <w:rFonts w:ascii="Times New Roman" w:eastAsia="Times New Roman" w:hAnsi="Times New Roman" w:cs="Times New Roman"/>
          <w:color w:val="000000"/>
          <w:sz w:val="24"/>
          <w:szCs w:val="24"/>
        </w:rPr>
        <w:t>.</w:t>
      </w:r>
    </w:p>
    <w:p w14:paraId="49283BAC" w14:textId="314E7125" w:rsidR="009B5DE4" w:rsidRDefault="000239BE"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literature investigating collagen and ovarian neoplasm</w:t>
      </w:r>
      <w:r w:rsidR="00B34ED4">
        <w:rPr>
          <w:rFonts w:ascii="Times New Roman" w:eastAsia="Times New Roman" w:hAnsi="Times New Roman" w:cs="Times New Roman"/>
          <w:color w:val="000000"/>
          <w:sz w:val="24"/>
          <w:szCs w:val="24"/>
        </w:rPr>
        <w:t>s</w:t>
      </w:r>
      <w:r w:rsidR="00BA31EF">
        <w:rPr>
          <w:rFonts w:ascii="Times New Roman" w:eastAsia="Times New Roman" w:hAnsi="Times New Roman" w:cs="Times New Roman"/>
          <w:color w:val="000000"/>
          <w:sz w:val="24"/>
          <w:szCs w:val="24"/>
        </w:rPr>
        <w:t>;</w:t>
      </w:r>
      <w:r w:rsidR="009B5DE4">
        <w:rPr>
          <w:rFonts w:ascii="Times New Roman" w:eastAsia="Times New Roman" w:hAnsi="Times New Roman" w:cs="Times New Roman"/>
          <w:color w:val="000000"/>
          <w:sz w:val="24"/>
          <w:szCs w:val="24"/>
        </w:rPr>
        <w:t xml:space="preserve"> however, little was </w:t>
      </w:r>
      <w:r>
        <w:rPr>
          <w:rFonts w:ascii="Times New Roman" w:eastAsia="Times New Roman" w:hAnsi="Times New Roman" w:cs="Times New Roman"/>
          <w:color w:val="000000"/>
          <w:sz w:val="24"/>
          <w:szCs w:val="24"/>
        </w:rPr>
        <w:t>noted</w:t>
      </w:r>
      <w:r w:rsidR="009B5DE4">
        <w:rPr>
          <w:rFonts w:ascii="Times New Roman" w:eastAsia="Times New Roman" w:hAnsi="Times New Roman" w:cs="Times New Roman"/>
          <w:color w:val="000000"/>
          <w:sz w:val="24"/>
          <w:szCs w:val="24"/>
        </w:rPr>
        <w:t xml:space="preserve"> regarding </w:t>
      </w:r>
      <w:r w:rsidR="00B34ED4">
        <w:rPr>
          <w:rFonts w:ascii="Times New Roman" w:eastAsia="Times New Roman" w:hAnsi="Times New Roman" w:cs="Times New Roman"/>
          <w:color w:val="000000"/>
          <w:sz w:val="24"/>
          <w:szCs w:val="24"/>
        </w:rPr>
        <w:t xml:space="preserve">the relationship between </w:t>
      </w:r>
      <w:r w:rsidR="009B5DE4">
        <w:rPr>
          <w:rFonts w:ascii="Times New Roman" w:eastAsia="Times New Roman" w:hAnsi="Times New Roman" w:cs="Times New Roman"/>
          <w:color w:val="000000"/>
          <w:sz w:val="24"/>
          <w:szCs w:val="24"/>
        </w:rPr>
        <w:t xml:space="preserve">CNV and ovarian </w:t>
      </w:r>
      <w:r w:rsidR="00B34ED4">
        <w:rPr>
          <w:rFonts w:ascii="Times New Roman" w:eastAsia="Times New Roman" w:hAnsi="Times New Roman" w:cs="Times New Roman"/>
          <w:color w:val="000000"/>
          <w:sz w:val="24"/>
          <w:szCs w:val="24"/>
        </w:rPr>
        <w:t>neoplasms</w:t>
      </w:r>
      <w:r w:rsidR="009B5DE4">
        <w:rPr>
          <w:rFonts w:ascii="Times New Roman" w:eastAsia="Times New Roman" w:hAnsi="Times New Roman" w:cs="Times New Roman"/>
          <w:color w:val="000000"/>
          <w:sz w:val="24"/>
          <w:szCs w:val="24"/>
        </w:rPr>
        <w:t xml:space="preserve">.  Gene expression is generally the most common researched topic with regards to </w:t>
      </w:r>
      <w:r w:rsidR="00BA31EF">
        <w:rPr>
          <w:rFonts w:ascii="Times New Roman" w:eastAsia="Times New Roman" w:hAnsi="Times New Roman" w:cs="Times New Roman"/>
          <w:color w:val="000000"/>
          <w:sz w:val="24"/>
          <w:szCs w:val="24"/>
        </w:rPr>
        <w:t>neoplasms</w:t>
      </w:r>
      <w:r w:rsidR="009B5DE4">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as </w:t>
      </w:r>
      <w:r w:rsidR="009B5DE4">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009B5DE4" w:rsidRPr="009B5DE4">
        <w:rPr>
          <w:rFonts w:ascii="Times New Roman" w:eastAsia="Times New Roman" w:hAnsi="Times New Roman" w:cs="Times New Roman"/>
          <w:color w:val="000000"/>
          <w:sz w:val="24"/>
          <w:szCs w:val="24"/>
        </w:rPr>
        <w:t>(Dillies et al., 2012)</w:t>
      </w:r>
      <w:r w:rsidR="009B5DE4">
        <w:rPr>
          <w:rFonts w:ascii="Times New Roman" w:eastAsia="Times New Roman" w:hAnsi="Times New Roman" w:cs="Times New Roman"/>
          <w:color w:val="000000"/>
          <w:sz w:val="24"/>
          <w:szCs w:val="24"/>
        </w:rPr>
        <w:t>.</w:t>
      </w:r>
      <w:r w:rsidR="006E298F">
        <w:rPr>
          <w:rFonts w:ascii="Times New Roman" w:eastAsia="Times New Roman" w:hAnsi="Times New Roman" w:cs="Times New Roman"/>
          <w:color w:val="000000"/>
          <w:sz w:val="24"/>
          <w:szCs w:val="24"/>
        </w:rPr>
        <w:t xml:space="preserve">  </w:t>
      </w:r>
      <w:r w:rsidR="006E662F">
        <w:rPr>
          <w:rFonts w:ascii="Times New Roman" w:eastAsia="Times New Roman" w:hAnsi="Times New Roman" w:cs="Times New Roman"/>
          <w:color w:val="000000"/>
          <w:sz w:val="24"/>
          <w:szCs w:val="24"/>
        </w:rPr>
        <w:t xml:space="preserve">For example, </w:t>
      </w:r>
      <w:r w:rsidR="006E662F">
        <w:rPr>
          <w:rFonts w:ascii="Times New Roman" w:eastAsia="Times New Roman" w:hAnsi="Times New Roman" w:cs="Times New Roman"/>
          <w:color w:val="000000"/>
          <w:sz w:val="24"/>
          <w:szCs w:val="24"/>
        </w:rPr>
        <w:t xml:space="preserve">Gene-drug interactions in ovarian cancer has been researched previously but with respects to gene expression instead of CNV </w:t>
      </w:r>
      <w:r w:rsidR="006E662F" w:rsidRPr="00097473">
        <w:rPr>
          <w:rFonts w:ascii="Times New Roman" w:eastAsia="Times New Roman" w:hAnsi="Times New Roman" w:cs="Times New Roman"/>
          <w:color w:val="000000"/>
          <w:sz w:val="24"/>
          <w:szCs w:val="24"/>
        </w:rPr>
        <w:t>(Teng et al., 2013)</w:t>
      </w:r>
      <w:r w:rsidR="006E662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High-throughput RNA sequencing advances</w:t>
      </w:r>
      <w:r w:rsidR="006E298F">
        <w:rPr>
          <w:rFonts w:ascii="Times New Roman" w:eastAsia="Times New Roman" w:hAnsi="Times New Roman" w:cs="Times New Roman"/>
          <w:color w:val="000000"/>
          <w:sz w:val="24"/>
          <w:szCs w:val="24"/>
        </w:rPr>
        <w:t xml:space="preserve"> may be the reason why CNV has not been studied as often.</w:t>
      </w:r>
    </w:p>
    <w:p w14:paraId="060E759A" w14:textId="2B27D4F6" w:rsidR="006847FC" w:rsidRDefault="006E298F"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has been shown to be involved in </w:t>
      </w:r>
      <w:r w:rsidR="006E662F">
        <w:rPr>
          <w:rFonts w:ascii="Times New Roman" w:eastAsia="Times New Roman" w:hAnsi="Times New Roman" w:cs="Times New Roman"/>
          <w:color w:val="000000"/>
          <w:sz w:val="24"/>
          <w:szCs w:val="24"/>
        </w:rPr>
        <w:t xml:space="preserve">multiple aspects of tumorigenesis as previously mentioned </w:t>
      </w:r>
      <w:r w:rsidR="006E662F">
        <w:rPr>
          <w:rFonts w:ascii="Times New Roman" w:eastAsia="Times New Roman" w:hAnsi="Times New Roman" w:cs="Times New Roman"/>
          <w:color w:val="000000"/>
          <w:sz w:val="24"/>
          <w:szCs w:val="24"/>
        </w:rPr>
        <w:t>(Cho et al., 2015)</w:t>
      </w:r>
      <w:r w:rsidR="006E662F">
        <w:rPr>
          <w:rFonts w:ascii="Times New Roman" w:eastAsia="Times New Roman" w:hAnsi="Times New Roman" w:cs="Times New Roman"/>
          <w:color w:val="000000"/>
          <w:sz w:val="24"/>
          <w:szCs w:val="24"/>
        </w:rPr>
        <w:t xml:space="preserve">.  </w:t>
      </w:r>
      <w:r w:rsidR="009B5DE4">
        <w:rPr>
          <w:rFonts w:ascii="Times New Roman" w:eastAsia="Times New Roman" w:hAnsi="Times New Roman" w:cs="Times New Roman"/>
          <w:color w:val="000000"/>
          <w:sz w:val="24"/>
          <w:szCs w:val="24"/>
        </w:rPr>
        <w:t xml:space="preserve">One study has previously linked collagen gene </w:t>
      </w:r>
      <w:r w:rsidR="009B5DE4">
        <w:rPr>
          <w:rFonts w:ascii="Times New Roman" w:eastAsia="Times New Roman" w:hAnsi="Times New Roman" w:cs="Times New Roman"/>
          <w:color w:val="000000"/>
          <w:sz w:val="24"/>
          <w:szCs w:val="24"/>
        </w:rPr>
        <w:lastRenderedPageBreak/>
        <w:t xml:space="preserve">expression to metastasis promotion through </w:t>
      </w:r>
      <w:r w:rsidR="009B5DE4" w:rsidRPr="009B5DE4">
        <w:rPr>
          <w:rFonts w:ascii="Times New Roman" w:eastAsia="Times New Roman" w:hAnsi="Times New Roman" w:cs="Times New Roman"/>
          <w:color w:val="000000"/>
          <w:sz w:val="24"/>
          <w:szCs w:val="24"/>
        </w:rPr>
        <w:t xml:space="preserve">the </w:t>
      </w:r>
      <w:r w:rsidR="009B5DE4" w:rsidRPr="009B5DE4">
        <w:rPr>
          <w:rFonts w:ascii="Times New Roman" w:hAnsi="Times New Roman" w:cs="Times New Roman"/>
          <w:sz w:val="24"/>
          <w:szCs w:val="24"/>
        </w:rPr>
        <w:t>TGF-β1 signaling</w:t>
      </w:r>
      <w:r w:rsidR="009B5DE4">
        <w:rPr>
          <w:rFonts w:ascii="Times New Roman" w:hAnsi="Times New Roman" w:cs="Times New Roman"/>
          <w:sz w:val="24"/>
          <w:szCs w:val="24"/>
        </w:rPr>
        <w:t xml:space="preserve"> pathway </w:t>
      </w:r>
      <w:r w:rsidR="009B5DE4" w:rsidRPr="009B5DE4">
        <w:rPr>
          <w:rFonts w:ascii="Times New Roman" w:eastAsia="Times New Roman" w:hAnsi="Times New Roman" w:cs="Times New Roman"/>
          <w:color w:val="000000"/>
          <w:sz w:val="24"/>
          <w:szCs w:val="24"/>
        </w:rPr>
        <w:t>(Cheon et al., 2013)</w:t>
      </w:r>
      <w:r w:rsidR="009B5DE4">
        <w:rPr>
          <w:rFonts w:ascii="Times New Roman" w:eastAsia="Times New Roman" w:hAnsi="Times New Roman" w:cs="Times New Roman"/>
          <w:color w:val="000000"/>
          <w:sz w:val="24"/>
          <w:szCs w:val="24"/>
        </w:rPr>
        <w:t xml:space="preserve">.  Another linked the collagen gene COL2A1 and higher gene expression with delayed tumor relapse in high-grade ovarian cancer patients </w:t>
      </w:r>
      <w:r w:rsidR="009B5DE4" w:rsidRPr="009B5DE4">
        <w:rPr>
          <w:rFonts w:ascii="Times New Roman" w:eastAsia="Times New Roman" w:hAnsi="Times New Roman" w:cs="Times New Roman"/>
          <w:color w:val="000000"/>
          <w:sz w:val="24"/>
          <w:szCs w:val="24"/>
        </w:rPr>
        <w:t>(Ganapathi et al., 2015)</w:t>
      </w:r>
      <w:r w:rsidR="009B5DE4">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38778F">
        <w:rPr>
          <w:rFonts w:ascii="Times New Roman" w:eastAsia="Times New Roman" w:hAnsi="Times New Roman" w:cs="Times New Roman"/>
          <w:color w:val="000000"/>
          <w:sz w:val="24"/>
          <w:szCs w:val="24"/>
        </w:rPr>
        <w:t xml:space="preserve">Drug resistance due to collagen gene expression by inhibiting molecular penetration and in turn decreasing tumor apoptosis has been studied as well in ovarian </w:t>
      </w:r>
      <w:r w:rsidR="006E662F">
        <w:rPr>
          <w:rFonts w:ascii="Times New Roman" w:eastAsia="Times New Roman" w:hAnsi="Times New Roman" w:cs="Times New Roman"/>
          <w:color w:val="000000"/>
          <w:sz w:val="24"/>
          <w:szCs w:val="24"/>
        </w:rPr>
        <w:t>neoplasms</w:t>
      </w:r>
      <w:r w:rsidR="0038778F">
        <w:rPr>
          <w:rFonts w:ascii="Times New Roman" w:eastAsia="Times New Roman" w:hAnsi="Times New Roman" w:cs="Times New Roman"/>
          <w:color w:val="000000"/>
          <w:sz w:val="24"/>
          <w:szCs w:val="24"/>
        </w:rPr>
        <w:t xml:space="preserve"> </w:t>
      </w:r>
      <w:r w:rsidR="0038778F" w:rsidRPr="0038778F">
        <w:rPr>
          <w:rFonts w:ascii="Times New Roman" w:eastAsia="Times New Roman" w:hAnsi="Times New Roman" w:cs="Times New Roman"/>
          <w:color w:val="000000"/>
          <w:sz w:val="24"/>
          <w:szCs w:val="24"/>
        </w:rPr>
        <w:t>(Januchowski et al., 2016)</w:t>
      </w:r>
      <w:r w:rsidR="0038778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856018">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00856018" w:rsidRPr="00097473">
        <w:rPr>
          <w:rFonts w:ascii="Times New Roman" w:eastAsia="Times New Roman" w:hAnsi="Times New Roman" w:cs="Times New Roman"/>
          <w:color w:val="000000"/>
          <w:sz w:val="24"/>
          <w:szCs w:val="24"/>
        </w:rPr>
        <w:t>(Wu et al., 2013)</w:t>
      </w:r>
      <w:r w:rsidR="00856018">
        <w:rPr>
          <w:rFonts w:ascii="Times New Roman" w:eastAsia="Times New Roman" w:hAnsi="Times New Roman" w:cs="Times New Roman"/>
          <w:color w:val="000000"/>
          <w:sz w:val="24"/>
          <w:szCs w:val="24"/>
        </w:rPr>
        <w:t>.</w:t>
      </w:r>
      <w:r w:rsidR="009B5D59">
        <w:rPr>
          <w:rFonts w:ascii="Times New Roman" w:eastAsia="Times New Roman" w:hAnsi="Times New Roman" w:cs="Times New Roman"/>
          <w:color w:val="000000"/>
          <w:sz w:val="24"/>
          <w:szCs w:val="24"/>
        </w:rPr>
        <w:t xml:space="preserve"> </w:t>
      </w:r>
      <w:r w:rsidR="00662AED">
        <w:rPr>
          <w:rFonts w:ascii="Times New Roman" w:eastAsia="Times New Roman" w:hAnsi="Times New Roman" w:cs="Times New Roman"/>
          <w:color w:val="000000"/>
          <w:sz w:val="24"/>
          <w:szCs w:val="24"/>
        </w:rPr>
        <w:t xml:space="preserve">However, some </w:t>
      </w:r>
      <w:r w:rsidR="00A33FB0">
        <w:rPr>
          <w:rFonts w:ascii="Times New Roman" w:eastAsia="Times New Roman" w:hAnsi="Times New Roman" w:cs="Times New Roman"/>
          <w:color w:val="000000"/>
          <w:sz w:val="24"/>
          <w:szCs w:val="24"/>
        </w:rPr>
        <w:t>investigation</w:t>
      </w:r>
      <w:r w:rsidR="00662AED">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9B5D59">
        <w:rPr>
          <w:rFonts w:ascii="Times New Roman" w:eastAsia="Times New Roman" w:hAnsi="Times New Roman" w:cs="Times New Roman"/>
          <w:color w:val="000000"/>
          <w:sz w:val="24"/>
          <w:szCs w:val="24"/>
        </w:rPr>
        <w:t>One</w:t>
      </w:r>
      <w:r w:rsidR="00097473">
        <w:rPr>
          <w:rFonts w:ascii="Times New Roman" w:eastAsia="Times New Roman" w:hAnsi="Times New Roman" w:cs="Times New Roman"/>
          <w:color w:val="000000"/>
          <w:sz w:val="24"/>
          <w:szCs w:val="24"/>
        </w:rPr>
        <w:t xml:space="preserv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(Spainhour &amp; Qiu, 2016)</w:t>
      </w:r>
      <w:r w:rsidR="00097473">
        <w:rPr>
          <w:rFonts w:ascii="Times New Roman" w:eastAsia="Times New Roman" w:hAnsi="Times New Roman" w:cs="Times New Roman"/>
          <w:color w:val="000000"/>
          <w:sz w:val="24"/>
          <w:szCs w:val="24"/>
        </w:rPr>
        <w:t>.</w:t>
      </w:r>
    </w:p>
    <w:p w14:paraId="547610DB" w14:textId="3BB2393E" w:rsidR="00646509" w:rsidRPr="00D15DD8"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1C6E283A" w14:textId="6E2781DF"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Patient clinical and survival data was pulled from TCGA database under the TCGA-OV project</w:t>
      </w:r>
      <w:r w:rsidR="00CE4770">
        <w:rPr>
          <w:rFonts w:ascii="Times New Roman" w:hAnsi="Times New Roman" w:cs="Times New Roman"/>
          <w:sz w:val="24"/>
          <w:szCs w:val="24"/>
        </w:rPr>
        <w:t xml:space="preserve"> (ovarian cancer)</w:t>
      </w:r>
      <w:r>
        <w:rPr>
          <w:rFonts w:ascii="Times New Roman" w:hAnsi="Times New Roman" w:cs="Times New Roman"/>
          <w:sz w:val="24"/>
          <w:szCs w:val="24"/>
        </w:rPr>
        <w:t>.  CNV data was pulled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w:t>
      </w:r>
      <w:r w:rsidR="00B977FD">
        <w:rPr>
          <w:rFonts w:ascii="Times New Roman" w:eastAsia="SimSun" w:hAnsi="Times New Roman" w:cs="Times New Roman"/>
          <w:sz w:val="24"/>
          <w:szCs w:val="24"/>
        </w:rPr>
        <w:t xml:space="preserve"> data cleaning workflow</w:t>
      </w:r>
      <w:r w:rsidR="00AB7ECA">
        <w:rPr>
          <w:rFonts w:ascii="Times New Roman" w:eastAsia="SimSun" w:hAnsi="Times New Roman" w:cs="Times New Roman"/>
          <w:sz w:val="24"/>
          <w:szCs w:val="24"/>
        </w:rPr>
        <w:t xml:space="preserve"> can be referenced in Appendix </w:t>
      </w:r>
      <w:r w:rsidR="00F52C81">
        <w:rPr>
          <w:rFonts w:ascii="Times New Roman" w:eastAsia="SimSun" w:hAnsi="Times New Roman" w:cs="Times New Roman"/>
          <w:sz w:val="24"/>
          <w:szCs w:val="24"/>
        </w:rPr>
        <w:t>A</w:t>
      </w:r>
      <w:r w:rsidR="00F84ECF">
        <w:rPr>
          <w:rFonts w:ascii="Times New Roman" w:eastAsia="SimSun" w:hAnsi="Times New Roman" w:cs="Times New Roman"/>
          <w:sz w:val="24"/>
          <w:szCs w:val="24"/>
        </w:rPr>
        <w:t xml:space="preserve">.  </w:t>
      </w:r>
      <w:r w:rsidR="00C9348A">
        <w:rPr>
          <w:rFonts w:ascii="Times New Roman" w:eastAsia="SimSun" w:hAnsi="Times New Roman" w:cs="Times New Roman"/>
          <w:sz w:val="24"/>
          <w:szCs w:val="24"/>
        </w:rPr>
        <w:t>Additional d</w:t>
      </w:r>
      <w:r w:rsidR="002552A3">
        <w:rPr>
          <w:rFonts w:ascii="Times New Roman" w:eastAsia="SimSun" w:hAnsi="Times New Roman" w:cs="Times New Roman"/>
          <w:sz w:val="24"/>
          <w:szCs w:val="24"/>
        </w:rPr>
        <w:t xml:space="preserve">ata </w:t>
      </w:r>
      <w:r w:rsidR="00F84ECF">
        <w:rPr>
          <w:rFonts w:ascii="Times New Roman" w:eastAsia="SimSun" w:hAnsi="Times New Roman" w:cs="Times New Roman"/>
          <w:sz w:val="24"/>
          <w:szCs w:val="24"/>
        </w:rPr>
        <w:t>cleaning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DataExplorer package </w:t>
      </w:r>
      <w:r w:rsidR="002552A3">
        <w:rPr>
          <w:rFonts w:ascii="Times New Roman" w:eastAsia="SimSun" w:hAnsi="Times New Roman" w:cs="Times New Roman"/>
          <w:sz w:val="24"/>
          <w:szCs w:val="24"/>
        </w:rPr>
        <w:t xml:space="preserve">in RStudio (Version 1.2.5033) </w:t>
      </w:r>
      <w:r w:rsidR="00F84ECF">
        <w:rPr>
          <w:rFonts w:ascii="Times New Roman" w:eastAsia="SimSun" w:hAnsi="Times New Roman" w:cs="Times New Roman"/>
          <w:sz w:val="24"/>
          <w:szCs w:val="24"/>
        </w:rPr>
        <w:t xml:space="preserve">and analysis </w:t>
      </w:r>
      <w:r w:rsidR="002552A3">
        <w:rPr>
          <w:rFonts w:ascii="Times New Roman" w:eastAsia="SimSun" w:hAnsi="Times New Roman" w:cs="Times New Roman"/>
          <w:sz w:val="24"/>
          <w:szCs w:val="24"/>
        </w:rPr>
        <w:t xml:space="preserve">was </w:t>
      </w:r>
      <w:r w:rsidR="00F84ECF">
        <w:rPr>
          <w:rFonts w:ascii="Times New Roman" w:eastAsia="SimSun" w:hAnsi="Times New Roman" w:cs="Times New Roman"/>
          <w:sz w:val="24"/>
          <w:szCs w:val="24"/>
        </w:rPr>
        <w:t>completed in</w:t>
      </w:r>
      <w:r w:rsidR="00F915A6">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with SurvMiner</w:t>
      </w:r>
      <w:r w:rsidR="002552A3">
        <w:rPr>
          <w:rFonts w:ascii="Times New Roman" w:eastAsia="SimSun" w:hAnsi="Times New Roman" w:cs="Times New Roman"/>
          <w:sz w:val="24"/>
          <w:szCs w:val="24"/>
        </w:rPr>
        <w:t xml:space="preserve"> and Survival </w:t>
      </w:r>
      <w:r w:rsidR="008D369B">
        <w:rPr>
          <w:rFonts w:ascii="Times New Roman" w:eastAsia="SimSun" w:hAnsi="Times New Roman" w:cs="Times New Roman"/>
          <w:sz w:val="24"/>
          <w:szCs w:val="24"/>
        </w:rPr>
        <w:t>package</w:t>
      </w:r>
      <w:r w:rsidR="002552A3">
        <w:rPr>
          <w:rFonts w:ascii="Times New Roman" w:eastAsia="SimSun" w:hAnsi="Times New Roman" w:cs="Times New Roman"/>
          <w:sz w:val="24"/>
          <w:szCs w:val="24"/>
        </w:rPr>
        <w:t>s in RStudio</w:t>
      </w:r>
      <w:r w:rsidR="008D369B">
        <w:rPr>
          <w:rFonts w:ascii="Times New Roman" w:eastAsia="SimSun" w:hAnsi="Times New Roman" w:cs="Times New Roman"/>
          <w:sz w:val="24"/>
          <w:szCs w:val="24"/>
        </w:rPr>
        <w:t>.</w:t>
      </w:r>
      <w:r w:rsidR="00F84ECF">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 xml:space="preserve"> C</w:t>
      </w:r>
      <w:r w:rsidR="00F84ECF">
        <w:rPr>
          <w:rFonts w:ascii="Times New Roman" w:eastAsia="SimSun" w:hAnsi="Times New Roman" w:cs="Times New Roman"/>
          <w:sz w:val="24"/>
          <w:szCs w:val="24"/>
        </w:rPr>
        <w:t xml:space="preserve">harts </w:t>
      </w:r>
      <w:r w:rsidR="008D369B">
        <w:rPr>
          <w:rFonts w:ascii="Times New Roman" w:eastAsia="SimSun" w:hAnsi="Times New Roman" w:cs="Times New Roman"/>
          <w:sz w:val="24"/>
          <w:szCs w:val="24"/>
        </w:rPr>
        <w:t xml:space="preserve">were </w:t>
      </w:r>
      <w:r w:rsidR="00F84ECF">
        <w:rPr>
          <w:rFonts w:ascii="Times New Roman" w:eastAsia="SimSun" w:hAnsi="Times New Roman" w:cs="Times New Roman"/>
          <w:sz w:val="24"/>
          <w:szCs w:val="24"/>
        </w:rPr>
        <w:t>made in Microsoft Excel.</w:t>
      </w:r>
    </w:p>
    <w:p w14:paraId="3B3037C4" w14:textId="614B4E3C" w:rsidR="006847FC" w:rsidRDefault="00E31F6B" w:rsidP="00735AB7">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lastRenderedPageBreak/>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p>
    <w:p w14:paraId="59AEDA07" w14:textId="748F5EAE" w:rsidR="001F0D31" w:rsidRPr="001F0D31" w:rsidRDefault="001F0D31" w:rsidP="001F0D31">
      <w:pPr>
        <w:shd w:val="clear" w:color="auto" w:fill="FFFFFF"/>
        <w:spacing w:line="240" w:lineRule="auto"/>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5EBC8"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C414D"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524D"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68A85"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346F5F51" w14:textId="77777777" w:rsidR="00012CD1" w:rsidRDefault="00012CD1" w:rsidP="00AB7ECA">
      <w:pPr>
        <w:shd w:val="clear" w:color="auto" w:fill="FFFFFF"/>
        <w:spacing w:line="480" w:lineRule="auto"/>
        <w:ind w:firstLine="720"/>
        <w:rPr>
          <w:rFonts w:ascii="Times New Roman" w:eastAsia="SimSun" w:hAnsi="Times New Roman" w:cs="Times New Roman"/>
          <w:sz w:val="24"/>
          <w:szCs w:val="24"/>
        </w:rPr>
      </w:pPr>
    </w:p>
    <w:p w14:paraId="2F3774A9" w14:textId="4B98AF4A" w:rsidR="00AB7ECA" w:rsidRDefault="001F0D31"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r w:rsidR="00977210" w:rsidRPr="0088044C">
        <w:rPr>
          <w:rFonts w:ascii="Times New Roman" w:eastAsia="SimSun" w:hAnsi="Times New Roman" w:cs="Times New Roman"/>
          <w:sz w:val="24"/>
          <w:szCs w:val="24"/>
        </w:rPr>
        <w:t>Days.to.Death</w:t>
      </w:r>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72249B">
        <w:rPr>
          <w:rFonts w:ascii="Times New Roman" w:eastAsia="SimSun" w:hAnsi="Times New Roman" w:cs="Times New Roman"/>
          <w:sz w:val="24"/>
          <w:szCs w:val="24"/>
        </w:rPr>
        <w:t>(Prinja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follow-up data or non-occurrence of event in this study.</w:t>
      </w:r>
    </w:p>
    <w:p w14:paraId="2D3B713C" w14:textId="19658E56"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survival curves </w:t>
      </w:r>
      <w:r w:rsidR="00C774A9">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5C1CC384" w14:textId="1DF15DF9" w:rsidR="004E6E7C" w:rsidRDefault="00D6461F" w:rsidP="0097721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Primary results are displayed in Table 2.</w:t>
      </w:r>
    </w:p>
    <w:p w14:paraId="5E295F5C" w14:textId="77777777" w:rsidR="004E6E7C" w:rsidRDefault="004E6E7C" w:rsidP="00D6461F">
      <w:pPr>
        <w:spacing w:line="240" w:lineRule="auto"/>
        <w:contextualSpacing/>
        <w:rPr>
          <w:rFonts w:ascii="Times New Roman" w:hAnsi="Times New Roman" w:cs="Times New Roman"/>
          <w:sz w:val="24"/>
          <w:szCs w:val="24"/>
        </w:rPr>
      </w:pPr>
    </w:p>
    <w:p w14:paraId="4116B94F" w14:textId="77777777" w:rsidR="00D84741" w:rsidRDefault="00D84741">
      <w:pPr>
        <w:rPr>
          <w:rFonts w:ascii="Times New Roman" w:hAnsi="Times New Roman" w:cs="Times New Roman"/>
          <w:b/>
          <w:bCs/>
        </w:rPr>
      </w:pPr>
      <w:r>
        <w:rPr>
          <w:rFonts w:ascii="Times New Roman" w:hAnsi="Times New Roman" w:cs="Times New Roman"/>
          <w:b/>
          <w:bCs/>
        </w:rPr>
        <w:br w:type="page"/>
      </w:r>
    </w:p>
    <w:p w14:paraId="39CE2B33" w14:textId="1EA528B0" w:rsidR="00D6461F" w:rsidRPr="004E6E7C" w:rsidRDefault="00D6461F" w:rsidP="00D6461F">
      <w:pPr>
        <w:spacing w:line="240" w:lineRule="auto"/>
        <w:contextualSpacing/>
        <w:rPr>
          <w:rFonts w:ascii="Times New Roman" w:hAnsi="Times New Roman" w:cs="Times New Roman"/>
          <w:sz w:val="24"/>
          <w:szCs w:val="24"/>
        </w:rPr>
      </w:pPr>
      <w:r w:rsidRPr="004E6E7C">
        <w:rPr>
          <w:rFonts w:ascii="Times New Roman" w:hAnsi="Times New Roman" w:cs="Times New Roman"/>
          <w:b/>
          <w:bCs/>
        </w:rPr>
        <w:lastRenderedPageBreak/>
        <w:t>Table 2. Primary Results</w:t>
      </w:r>
    </w:p>
    <w:tbl>
      <w:tblPr>
        <w:tblStyle w:val="GridTable4-Accent1"/>
        <w:tblW w:w="10295" w:type="dxa"/>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2997"/>
        <w:gridCol w:w="1299"/>
        <w:gridCol w:w="1471"/>
        <w:gridCol w:w="2905"/>
      </w:tblGrid>
      <w:tr w:rsidR="00810758" w:rsidRPr="004E6E7C" w14:paraId="72F163E4" w14:textId="77777777" w:rsidTr="00336DA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55C149A" w14:textId="77777777" w:rsidR="00810758" w:rsidRPr="00977210" w:rsidRDefault="00810758" w:rsidP="00D6461F">
            <w:pPr>
              <w:contextualSpacing/>
              <w:jc w:val="center"/>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Gene</w:t>
            </w:r>
          </w:p>
        </w:tc>
        <w:tc>
          <w:tcPr>
            <w:tcW w:w="2997" w:type="dxa"/>
            <w:noWrap/>
            <w:vAlign w:val="center"/>
            <w:hideMark/>
          </w:tcPr>
          <w:p w14:paraId="288F1FF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CNV Stratification</w:t>
            </w:r>
          </w:p>
        </w:tc>
        <w:tc>
          <w:tcPr>
            <w:tcW w:w="1299" w:type="dxa"/>
            <w:noWrap/>
            <w:vAlign w:val="center"/>
            <w:hideMark/>
          </w:tcPr>
          <w:p w14:paraId="15C99C79"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P-value</w:t>
            </w:r>
          </w:p>
        </w:tc>
        <w:tc>
          <w:tcPr>
            <w:tcW w:w="1471" w:type="dxa"/>
            <w:noWrap/>
            <w:vAlign w:val="center"/>
            <w:hideMark/>
          </w:tcPr>
          <w:p w14:paraId="6396AC4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Coefficient</w:t>
            </w:r>
          </w:p>
        </w:tc>
        <w:tc>
          <w:tcPr>
            <w:tcW w:w="2905" w:type="dxa"/>
            <w:noWrap/>
            <w:vAlign w:val="center"/>
            <w:hideMark/>
          </w:tcPr>
          <w:p w14:paraId="230E3419" w14:textId="68C5BA88"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Exp(Coef) – Hazard Ratio (95% CI)</w:t>
            </w:r>
          </w:p>
        </w:tc>
      </w:tr>
      <w:tr w:rsidR="00336DAA" w:rsidRPr="004E6E7C" w14:paraId="3575F4A6"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E9EFF20" w14:textId="77777777" w:rsidR="00336DAA" w:rsidRPr="00977210" w:rsidRDefault="00336DAA" w:rsidP="00D6461F">
            <w:pP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COL12A1</w:t>
            </w:r>
          </w:p>
        </w:tc>
        <w:tc>
          <w:tcPr>
            <w:tcW w:w="2997" w:type="dxa"/>
            <w:vAlign w:val="center"/>
          </w:tcPr>
          <w:p w14:paraId="4EDFB6B0" w14:textId="6CE0FF43"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7770687C"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0.046*</w:t>
            </w:r>
          </w:p>
        </w:tc>
        <w:tc>
          <w:tcPr>
            <w:tcW w:w="1471" w:type="dxa"/>
            <w:noWrap/>
            <w:vAlign w:val="center"/>
            <w:hideMark/>
          </w:tcPr>
          <w:p w14:paraId="7DA6A0CF"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0F1F0E5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071D6210"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937645E"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2D121861" w14:textId="3391CF8E"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A3E1DDA"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0.0245*</w:t>
            </w:r>
          </w:p>
        </w:tc>
        <w:tc>
          <w:tcPr>
            <w:tcW w:w="1471" w:type="dxa"/>
            <w:noWrap/>
            <w:vAlign w:val="center"/>
            <w:hideMark/>
          </w:tcPr>
          <w:p w14:paraId="62AEE188"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-0.36</w:t>
            </w:r>
          </w:p>
        </w:tc>
        <w:tc>
          <w:tcPr>
            <w:tcW w:w="2905" w:type="dxa"/>
            <w:noWrap/>
            <w:vAlign w:val="center"/>
            <w:hideMark/>
          </w:tcPr>
          <w:p w14:paraId="5BAC96AD" w14:textId="40CE123A"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0.6977 (0.5098 - 0.9547)</w:t>
            </w:r>
          </w:p>
        </w:tc>
      </w:tr>
      <w:tr w:rsidR="00810758" w:rsidRPr="004E6E7C" w14:paraId="18D757DD"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D47B2EB"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12A79034" w14:textId="7BD43B65"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4153E286"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0.0629</w:t>
            </w:r>
          </w:p>
        </w:tc>
        <w:tc>
          <w:tcPr>
            <w:tcW w:w="1471" w:type="dxa"/>
            <w:noWrap/>
            <w:vAlign w:val="center"/>
            <w:hideMark/>
          </w:tcPr>
          <w:p w14:paraId="2E1C3F4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-0.2451</w:t>
            </w:r>
          </w:p>
        </w:tc>
        <w:tc>
          <w:tcPr>
            <w:tcW w:w="2905" w:type="dxa"/>
            <w:noWrap/>
            <w:vAlign w:val="center"/>
            <w:hideMark/>
          </w:tcPr>
          <w:p w14:paraId="6F89E9B2" w14:textId="165E8E49"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0.7826 (0.6044 - 1.0133)</w:t>
            </w:r>
          </w:p>
        </w:tc>
      </w:tr>
      <w:tr w:rsidR="00336DAA" w:rsidRPr="004E6E7C" w14:paraId="42D8309F"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2A72437" w14:textId="77777777" w:rsidR="00336DAA" w:rsidRPr="00977210" w:rsidRDefault="00336DAA" w:rsidP="00D6461F">
            <w:pP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COL4A3BP</w:t>
            </w:r>
          </w:p>
        </w:tc>
        <w:tc>
          <w:tcPr>
            <w:tcW w:w="2997" w:type="dxa"/>
            <w:vAlign w:val="center"/>
          </w:tcPr>
          <w:p w14:paraId="1852790D" w14:textId="398104A7" w:rsidR="00336DAA" w:rsidRPr="00977210" w:rsidRDefault="00336DAA"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2EFAB14E"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0.021*</w:t>
            </w:r>
          </w:p>
        </w:tc>
        <w:tc>
          <w:tcPr>
            <w:tcW w:w="1471" w:type="dxa"/>
            <w:noWrap/>
            <w:vAlign w:val="center"/>
            <w:hideMark/>
          </w:tcPr>
          <w:p w14:paraId="1A5E14AA"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3A96B630"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10758" w:rsidRPr="004E6E7C" w14:paraId="6975DD3E"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ACE0DCA"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4DF3E9E8" w14:textId="259C3EDB"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16135EF" w14:textId="21B47C62"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0.00696**</w:t>
            </w:r>
          </w:p>
        </w:tc>
        <w:tc>
          <w:tcPr>
            <w:tcW w:w="1471" w:type="dxa"/>
            <w:noWrap/>
            <w:vAlign w:val="center"/>
            <w:hideMark/>
          </w:tcPr>
          <w:p w14:paraId="3878567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0.80615</w:t>
            </w:r>
          </w:p>
        </w:tc>
        <w:tc>
          <w:tcPr>
            <w:tcW w:w="2905" w:type="dxa"/>
            <w:noWrap/>
            <w:vAlign w:val="center"/>
            <w:hideMark/>
          </w:tcPr>
          <w:p w14:paraId="4F898310" w14:textId="2B7E6FFC"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2.239 (1.2470 – 4.021)</w:t>
            </w:r>
          </w:p>
        </w:tc>
      </w:tr>
      <w:tr w:rsidR="00810758" w:rsidRPr="004E6E7C" w14:paraId="6741A9A9"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69B58AF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A0C75F" w14:textId="0D8ABC5C"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570D76B4"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0.58518</w:t>
            </w:r>
          </w:p>
        </w:tc>
        <w:tc>
          <w:tcPr>
            <w:tcW w:w="1471" w:type="dxa"/>
            <w:noWrap/>
            <w:vAlign w:val="center"/>
            <w:hideMark/>
          </w:tcPr>
          <w:p w14:paraId="38BF516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0.07492</w:t>
            </w:r>
          </w:p>
        </w:tc>
        <w:tc>
          <w:tcPr>
            <w:tcW w:w="2905" w:type="dxa"/>
            <w:noWrap/>
            <w:vAlign w:val="center"/>
            <w:hideMark/>
          </w:tcPr>
          <w:p w14:paraId="3DBBC357" w14:textId="5075E9E1"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1.078 (0.8236 – 1.410)</w:t>
            </w:r>
          </w:p>
        </w:tc>
      </w:tr>
      <w:tr w:rsidR="00336DAA" w:rsidRPr="004E6E7C" w14:paraId="220A236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1EA66C65" w14:textId="77777777" w:rsidR="00336DAA" w:rsidRPr="00977210" w:rsidRDefault="00336DAA" w:rsidP="00D6461F">
            <w:pP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COL5A3</w:t>
            </w:r>
          </w:p>
        </w:tc>
        <w:tc>
          <w:tcPr>
            <w:tcW w:w="2997" w:type="dxa"/>
            <w:vAlign w:val="center"/>
          </w:tcPr>
          <w:p w14:paraId="468772DF" w14:textId="795A0550"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554EC26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0.014*</w:t>
            </w:r>
          </w:p>
        </w:tc>
        <w:tc>
          <w:tcPr>
            <w:tcW w:w="1471" w:type="dxa"/>
            <w:noWrap/>
            <w:vAlign w:val="center"/>
            <w:hideMark/>
          </w:tcPr>
          <w:p w14:paraId="0C22BD81"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682657FB"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3A2ED5C6"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9FD23D8"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7F551837" w14:textId="5DD34D9A"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7E8EF4D5" w14:textId="241472AD"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0.00548**</w:t>
            </w:r>
          </w:p>
        </w:tc>
        <w:tc>
          <w:tcPr>
            <w:tcW w:w="1471" w:type="dxa"/>
            <w:noWrap/>
            <w:vAlign w:val="center"/>
            <w:hideMark/>
          </w:tcPr>
          <w:p w14:paraId="16F4F8B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-0.3818</w:t>
            </w:r>
          </w:p>
        </w:tc>
        <w:tc>
          <w:tcPr>
            <w:tcW w:w="2905" w:type="dxa"/>
            <w:noWrap/>
            <w:vAlign w:val="center"/>
            <w:hideMark/>
          </w:tcPr>
          <w:p w14:paraId="37BBC985" w14:textId="190B136E"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0.6827 (0.5214 – 0.8937)</w:t>
            </w:r>
          </w:p>
        </w:tc>
      </w:tr>
      <w:tr w:rsidR="00810758" w:rsidRPr="004E6E7C" w14:paraId="2923ECE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1CBDA5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83BAB4" w14:textId="0E54F8FF"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7C9E84B2"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0.04536*</w:t>
            </w:r>
          </w:p>
        </w:tc>
        <w:tc>
          <w:tcPr>
            <w:tcW w:w="1471" w:type="dxa"/>
            <w:noWrap/>
            <w:vAlign w:val="center"/>
            <w:hideMark/>
          </w:tcPr>
          <w:p w14:paraId="387C3139"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-0.2992</w:t>
            </w:r>
          </w:p>
        </w:tc>
        <w:tc>
          <w:tcPr>
            <w:tcW w:w="2905" w:type="dxa"/>
            <w:noWrap/>
            <w:vAlign w:val="center"/>
            <w:hideMark/>
          </w:tcPr>
          <w:p w14:paraId="36B3C1F0" w14:textId="39513963"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0.7414 (0.5531 – 0.9938)</w:t>
            </w:r>
          </w:p>
        </w:tc>
      </w:tr>
    </w:tbl>
    <w:p w14:paraId="0D2D207F" w14:textId="00F84F31"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00CC28ED" w:rsidRPr="00EF6C7E">
        <w:rPr>
          <w:rFonts w:ascii="Times New Roman" w:hAnsi="Times New Roman" w:cs="Times New Roman"/>
          <w:b/>
          <w:bCs/>
          <w:sz w:val="24"/>
          <w:szCs w:val="24"/>
        </w:rPr>
        <w:br/>
        <w:t>**Denotes statistical significance with p-value &lt; 0.01.</w:t>
      </w:r>
    </w:p>
    <w:p w14:paraId="485AD521" w14:textId="59E74D16"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  Only gene COL5A3 was within significance between deleted, normal, and duplicated CNV stratification.</w:t>
      </w:r>
    </w:p>
    <w:p w14:paraId="1DC6ADE7" w14:textId="51CD15B0" w:rsidR="00866F3C" w:rsidRDefault="004E6E7C" w:rsidP="00D66AD5">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In the Cox-proportional hazard model, t</w:t>
      </w:r>
      <w:r w:rsidR="00866F3C" w:rsidRPr="004E6E7C">
        <w:rPr>
          <w:rFonts w:ascii="Times New Roman" w:hAnsi="Times New Roman" w:cs="Times New Roman"/>
          <w:sz w:val="24"/>
          <w:szCs w:val="24"/>
        </w:rPr>
        <w:t>he</w:t>
      </w:r>
      <w:r w:rsidR="00726638">
        <w:rPr>
          <w:rFonts w:ascii="Times New Roman" w:hAnsi="Times New Roman" w:cs="Times New Roman"/>
          <w:sz w:val="24"/>
          <w:szCs w:val="24"/>
        </w:rPr>
        <w:t xml:space="preserve"> </w:t>
      </w:r>
      <w:r w:rsidR="00726638" w:rsidRPr="004E6E7C">
        <w:rPr>
          <w:rFonts w:ascii="Times New Roman" w:eastAsia="Times New Roman" w:hAnsi="Times New Roman" w:cs="Times New Roman"/>
          <w:color w:val="000000"/>
          <w:sz w:val="24"/>
          <w:szCs w:val="24"/>
        </w:rPr>
        <w:t>COL5A3</w:t>
      </w:r>
      <w:r w:rsidR="00866F3C" w:rsidRPr="004E6E7C">
        <w:rPr>
          <w:rFonts w:ascii="Times New Roman" w:hAnsi="Times New Roman" w:cs="Times New Roman"/>
          <w:sz w:val="24"/>
          <w:szCs w:val="24"/>
        </w:rPr>
        <w:t xml:space="preserve"> coefficients were negative for </w:t>
      </w:r>
      <w:r w:rsidR="00726638">
        <w:rPr>
          <w:rFonts w:ascii="Times New Roman" w:eastAsia="Times New Roman" w:hAnsi="Times New Roman" w:cs="Times New Roman"/>
          <w:color w:val="000000"/>
          <w:sz w:val="24"/>
          <w:szCs w:val="24"/>
        </w:rPr>
        <w:t>normal and duplication CNV</w:t>
      </w:r>
      <w:r w:rsidR="00866F3C" w:rsidRPr="004E6E7C">
        <w:rPr>
          <w:rFonts w:ascii="Times New Roman" w:eastAsia="Times New Roman" w:hAnsi="Times New Roman" w:cs="Times New Roman"/>
          <w:color w:val="000000"/>
          <w:sz w:val="24"/>
          <w:szCs w:val="24"/>
        </w:rPr>
        <w:t xml:space="preserve"> when compared to deletion</w:t>
      </w:r>
      <w:r w:rsidR="00726638">
        <w:rPr>
          <w:rFonts w:ascii="Times New Roman" w:eastAsia="Times New Roman" w:hAnsi="Times New Roman" w:cs="Times New Roman"/>
          <w:color w:val="000000"/>
          <w:sz w:val="24"/>
          <w:szCs w:val="24"/>
        </w:rPr>
        <w:t xml:space="preserve"> CNV</w:t>
      </w:r>
      <w:r w:rsidR="00866F3C" w:rsidRPr="004E6E7C">
        <w:rPr>
          <w:rFonts w:ascii="Times New Roman" w:eastAsia="Times New Roman" w:hAnsi="Times New Roman" w:cs="Times New Roman"/>
          <w:color w:val="000000"/>
          <w:sz w:val="24"/>
          <w:szCs w:val="24"/>
        </w:rPr>
        <w:t>.  This means that normal and duplicated CNV levels in this gene have increased survival</w:t>
      </w:r>
      <w:r w:rsidR="00A71B3C">
        <w:rPr>
          <w:rFonts w:ascii="Times New Roman" w:eastAsia="Times New Roman" w:hAnsi="Times New Roman" w:cs="Times New Roman"/>
          <w:color w:val="000000"/>
          <w:sz w:val="24"/>
          <w:szCs w:val="24"/>
        </w:rPr>
        <w:t xml:space="preserve"> probability as it is negatively correlated to the event</w:t>
      </w:r>
      <w:r w:rsidRPr="004E6E7C">
        <w:rPr>
          <w:rFonts w:ascii="Times New Roman" w:eastAsia="Times New Roman" w:hAnsi="Times New Roman" w:cs="Times New Roman"/>
          <w:color w:val="000000"/>
          <w:sz w:val="24"/>
          <w:szCs w:val="24"/>
        </w:rPr>
        <w:t>.</w:t>
      </w:r>
      <w:r w:rsidR="00D66AD5">
        <w:rPr>
          <w:rFonts w:ascii="Times New Roman" w:eastAsia="Times New Roman" w:hAnsi="Times New Roman" w:cs="Times New Roman"/>
          <w:color w:val="000000"/>
          <w:sz w:val="24"/>
          <w:szCs w:val="24"/>
        </w:rPr>
        <w:t xml:space="preserve">  </w:t>
      </w:r>
      <w:r w:rsidR="00A71B3C">
        <w:rPr>
          <w:rFonts w:ascii="Times New Roman" w:eastAsia="Times New Roman" w:hAnsi="Times New Roman" w:cs="Times New Roman"/>
          <w:color w:val="000000"/>
          <w:sz w:val="24"/>
          <w:szCs w:val="24"/>
        </w:rPr>
        <w:t xml:space="preserve">Coefficients for COL12A1 were also negative showing the same survival probability increase.  COL4A3BP had positive coefficients which imply lower probability of survival with duplicated and normal CNV, however, only duplication </w:t>
      </w:r>
      <w:r w:rsidR="00B92CE8">
        <w:rPr>
          <w:rFonts w:ascii="Times New Roman" w:eastAsia="Times New Roman" w:hAnsi="Times New Roman" w:cs="Times New Roman"/>
          <w:color w:val="000000"/>
          <w:sz w:val="24"/>
          <w:szCs w:val="24"/>
        </w:rPr>
        <w:t>and deletion CNV was</w:t>
      </w:r>
      <w:r w:rsidR="00A71B3C">
        <w:rPr>
          <w:rFonts w:ascii="Times New Roman" w:eastAsia="Times New Roman" w:hAnsi="Times New Roman" w:cs="Times New Roman"/>
          <w:color w:val="000000"/>
          <w:sz w:val="24"/>
          <w:szCs w:val="24"/>
        </w:rPr>
        <w:t xml:space="preserve"> </w:t>
      </w:r>
      <w:r w:rsidR="00D66AD5">
        <w:rPr>
          <w:rFonts w:ascii="Times New Roman" w:eastAsia="Times New Roman" w:hAnsi="Times New Roman" w:cs="Times New Roman"/>
          <w:color w:val="000000"/>
          <w:sz w:val="24"/>
          <w:szCs w:val="24"/>
        </w:rPr>
        <w:t xml:space="preserve">statistically </w:t>
      </w:r>
      <w:r w:rsidR="00A71B3C">
        <w:rPr>
          <w:rFonts w:ascii="Times New Roman" w:eastAsia="Times New Roman" w:hAnsi="Times New Roman" w:cs="Times New Roman"/>
          <w:color w:val="000000"/>
          <w:sz w:val="24"/>
          <w:szCs w:val="24"/>
        </w:rPr>
        <w:t>significant.</w:t>
      </w:r>
    </w:p>
    <w:p w14:paraId="5C9C7B64" w14:textId="2B333BBE" w:rsidR="001302D8" w:rsidRPr="004E6E7C" w:rsidRDefault="001302D8" w:rsidP="00866F3C">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Hazard ratios for statistically significant findings include COL12A1 duplication at 0.6977 which</w:t>
      </w:r>
      <w:r w:rsidR="001F577B">
        <w:rPr>
          <w:rFonts w:ascii="Times New Roman" w:eastAsia="Times New Roman" w:hAnsi="Times New Roman" w:cs="Times New Roman"/>
          <w:color w:val="000000"/>
          <w:sz w:val="24"/>
          <w:szCs w:val="24"/>
        </w:rPr>
        <w:t xml:space="preserve">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translates to a 0.7:1 ratio for chance of death. This is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a 30% decreased </w:t>
      </w:r>
      <w:r w:rsidR="00A36DDA">
        <w:rPr>
          <w:rFonts w:ascii="Times New Roman" w:eastAsia="Times New Roman" w:hAnsi="Times New Roman" w:cs="Times New Roman"/>
          <w:color w:val="000000"/>
          <w:sz w:val="24"/>
          <w:szCs w:val="24"/>
        </w:rPr>
        <w:t>probability</w:t>
      </w:r>
      <w:r>
        <w:rPr>
          <w:rFonts w:ascii="Times New Roman" w:eastAsia="Times New Roman" w:hAnsi="Times New Roman" w:cs="Times New Roman"/>
          <w:color w:val="000000"/>
          <w:sz w:val="24"/>
          <w:szCs w:val="24"/>
        </w:rPr>
        <w:t xml:space="preserve"> of death in this stratification.</w:t>
      </w:r>
      <w:r w:rsidR="004E6CF0">
        <w:rPr>
          <w:rFonts w:ascii="Times New Roman" w:eastAsia="Times New Roman" w:hAnsi="Times New Roman" w:cs="Times New Roman"/>
          <w:color w:val="000000"/>
          <w:sz w:val="24"/>
          <w:szCs w:val="24"/>
        </w:rPr>
        <w:t xml:space="preserve"> In gene COL4A3BP for duplicated CNV is a hazard ratio of </w:t>
      </w:r>
      <w:r w:rsidR="004E6CF0" w:rsidRPr="001302D8">
        <w:rPr>
          <w:rFonts w:ascii="Times New Roman" w:eastAsia="Times New Roman" w:hAnsi="Times New Roman" w:cs="Times New Roman"/>
          <w:color w:val="000000"/>
          <w:sz w:val="24"/>
          <w:szCs w:val="24"/>
        </w:rPr>
        <w:t>2.239</w:t>
      </w:r>
      <w:r w:rsidR="004E6CF0">
        <w:rPr>
          <w:rFonts w:ascii="Times New Roman" w:eastAsia="Times New Roman" w:hAnsi="Times New Roman" w:cs="Times New Roman"/>
          <w:color w:val="000000"/>
          <w:sz w:val="24"/>
          <w:szCs w:val="24"/>
        </w:rPr>
        <w:t xml:space="preserve"> which translates to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:1 ratio for increased chance of death</w:t>
      </w:r>
      <w:r w:rsidR="00A36DDA">
        <w:rPr>
          <w:rFonts w:ascii="Times New Roman" w:eastAsia="Times New Roman" w:hAnsi="Times New Roman" w:cs="Times New Roman"/>
          <w:color w:val="000000"/>
          <w:sz w:val="24"/>
          <w:szCs w:val="24"/>
        </w:rPr>
        <w:t xml:space="preserve"> which is</w:t>
      </w:r>
      <w:r w:rsidR="004E6CF0">
        <w:rPr>
          <w:rFonts w:ascii="Times New Roman" w:eastAsia="Times New Roman" w:hAnsi="Times New Roman" w:cs="Times New Roman"/>
          <w:color w:val="000000"/>
          <w:sz w:val="24"/>
          <w:szCs w:val="24"/>
        </w:rPr>
        <w:t xml:space="preserve"> a </w:t>
      </w:r>
      <w:r w:rsidR="004E6CF0">
        <w:rPr>
          <w:rFonts w:ascii="Times New Roman" w:eastAsia="Times New Roman" w:hAnsi="Times New Roman" w:cs="Times New Roman"/>
          <w:color w:val="000000"/>
          <w:sz w:val="24"/>
          <w:szCs w:val="24"/>
        </w:rPr>
        <w:lastRenderedPageBreak/>
        <w:t>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 xml:space="preserve">probability </w:t>
      </w:r>
      <w:r w:rsidR="004E6CF0">
        <w:rPr>
          <w:rFonts w:ascii="Times New Roman" w:eastAsia="Times New Roman" w:hAnsi="Times New Roman" w:cs="Times New Roman"/>
          <w:color w:val="000000"/>
          <w:sz w:val="24"/>
          <w:szCs w:val="24"/>
        </w:rPr>
        <w:t xml:space="preserve">increase in death for this </w:t>
      </w:r>
      <w:r w:rsidR="00A36DDA">
        <w:rPr>
          <w:rFonts w:ascii="Times New Roman" w:eastAsia="Times New Roman" w:hAnsi="Times New Roman" w:cs="Times New Roman"/>
          <w:color w:val="000000"/>
          <w:sz w:val="24"/>
          <w:szCs w:val="24"/>
        </w:rPr>
        <w:t>gene stratification.</w:t>
      </w:r>
      <w:r w:rsidR="004E6CF0">
        <w:rPr>
          <w:rFonts w:ascii="Times New Roman" w:eastAsia="Times New Roman" w:hAnsi="Times New Roman" w:cs="Times New Roman"/>
          <w:color w:val="000000"/>
          <w:sz w:val="24"/>
          <w:szCs w:val="24"/>
        </w:rPr>
        <w:t xml:space="preserve">  Hazard ratios for COL5A3 were both statistically significant for duplication and normal CNV at 0.6827 and 0.7414, respectively.  These translate to a ratio of 0.68:1 ratio and 0.74:1 ratio for chances of death; or a 32% and 26% decreased chance of death, respectively</w:t>
      </w:r>
      <w:r w:rsidR="001F577B">
        <w:rPr>
          <w:rFonts w:ascii="Times New Roman" w:eastAsia="Times New Roman" w:hAnsi="Times New Roman" w:cs="Times New Roman"/>
          <w:color w:val="000000"/>
          <w:sz w:val="24"/>
          <w:szCs w:val="24"/>
        </w:rPr>
        <w:t>, for duplication and normal CNV</w:t>
      </w:r>
      <w:r w:rsidR="004E6CF0">
        <w:rPr>
          <w:rFonts w:ascii="Times New Roman" w:eastAsia="Times New Roman" w:hAnsi="Times New Roman" w:cs="Times New Roman"/>
          <w:color w:val="000000"/>
          <w:sz w:val="24"/>
          <w:szCs w:val="24"/>
        </w:rPr>
        <w:t>.</w:t>
      </w:r>
    </w:p>
    <w:p w14:paraId="2737CF09" w14:textId="04AA911F" w:rsidR="008655FF" w:rsidRPr="0043385D" w:rsidRDefault="0060078F"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Shown in Appendix C are Kaplan-Meier curves </w:t>
      </w:r>
      <w:r w:rsidR="004E6E7C">
        <w:rPr>
          <w:rFonts w:ascii="Times New Roman" w:hAnsi="Times New Roman" w:cs="Times New Roman"/>
          <w:sz w:val="24"/>
          <w:szCs w:val="24"/>
        </w:rPr>
        <w:t xml:space="preserve">(KM) </w:t>
      </w:r>
      <w:r>
        <w:rPr>
          <w:rFonts w:ascii="Times New Roman" w:hAnsi="Times New Roman" w:cs="Times New Roman"/>
          <w:sz w:val="24"/>
          <w:szCs w:val="24"/>
        </w:rPr>
        <w:t>for all 3 genes.</w:t>
      </w:r>
      <w:r w:rsidR="004E6E7C">
        <w:rPr>
          <w:rFonts w:ascii="Times New Roman" w:hAnsi="Times New Roman" w:cs="Times New Roman"/>
          <w:sz w:val="24"/>
          <w:szCs w:val="24"/>
        </w:rPr>
        <w:t xml:space="preserve">  </w:t>
      </w:r>
      <w:r w:rsidR="00AC3ED5">
        <w:rPr>
          <w:rFonts w:ascii="Times New Roman" w:hAnsi="Times New Roman" w:cs="Times New Roman"/>
          <w:sz w:val="24"/>
          <w:szCs w:val="24"/>
        </w:rPr>
        <w:t xml:space="preserve">Gene COL5A3 has a very distinct and visible survival difference between 1100 days and 1700 days, but then </w:t>
      </w:r>
      <w:r w:rsidR="007736F4">
        <w:rPr>
          <w:rFonts w:ascii="Times New Roman" w:hAnsi="Times New Roman" w:cs="Times New Roman"/>
          <w:sz w:val="24"/>
          <w:szCs w:val="24"/>
        </w:rPr>
        <w:t xml:space="preserve">converges again </w:t>
      </w:r>
      <w:r w:rsidR="00AC3ED5">
        <w:rPr>
          <w:rFonts w:ascii="Times New Roman" w:hAnsi="Times New Roman" w:cs="Times New Roman"/>
          <w:sz w:val="24"/>
          <w:szCs w:val="24"/>
        </w:rPr>
        <w:t xml:space="preserve">to where all 3 stratifications </w:t>
      </w:r>
      <w:r w:rsidR="00866F3C">
        <w:rPr>
          <w:rFonts w:ascii="Times New Roman" w:hAnsi="Times New Roman" w:cs="Times New Roman"/>
          <w:sz w:val="24"/>
          <w:szCs w:val="24"/>
        </w:rPr>
        <w:t>do not</w:t>
      </w:r>
      <w:r w:rsidR="00AC3ED5">
        <w:rPr>
          <w:rFonts w:ascii="Times New Roman" w:hAnsi="Times New Roman" w:cs="Times New Roman"/>
          <w:sz w:val="24"/>
          <w:szCs w:val="24"/>
        </w:rPr>
        <w:t xml:space="preserve"> show much dif</w:t>
      </w:r>
      <w:r w:rsidR="007736F4">
        <w:rPr>
          <w:rFonts w:ascii="Times New Roman" w:hAnsi="Times New Roman" w:cs="Times New Roman"/>
          <w:sz w:val="24"/>
          <w:szCs w:val="24"/>
        </w:rPr>
        <w:t>ferentiation</w:t>
      </w:r>
      <w:r w:rsidR="004E6E7C">
        <w:rPr>
          <w:rFonts w:ascii="Times New Roman" w:hAnsi="Times New Roman" w:cs="Times New Roman"/>
          <w:sz w:val="24"/>
          <w:szCs w:val="24"/>
        </w:rPr>
        <w:t xml:space="preserve"> around day 2000</w:t>
      </w:r>
      <w:r w:rsidR="005F6C22">
        <w:rPr>
          <w:rFonts w:ascii="Times New Roman" w:hAnsi="Times New Roman" w:cs="Times New Roman"/>
          <w:sz w:val="24"/>
          <w:szCs w:val="24"/>
        </w:rPr>
        <w:t>, but then splits off again</w:t>
      </w:r>
      <w:r w:rsidR="004E6E7C">
        <w:rPr>
          <w:rFonts w:ascii="Times New Roman" w:hAnsi="Times New Roman" w:cs="Times New Roman"/>
          <w:sz w:val="24"/>
          <w:szCs w:val="24"/>
        </w:rPr>
        <w:t xml:space="preserve">.  </w:t>
      </w:r>
      <w:r w:rsidR="00A71B3C">
        <w:rPr>
          <w:rFonts w:ascii="Times New Roman" w:hAnsi="Times New Roman" w:cs="Times New Roman"/>
          <w:sz w:val="24"/>
          <w:szCs w:val="24"/>
        </w:rPr>
        <w:t>Duplication</w:t>
      </w:r>
      <w:r w:rsidR="004E6E7C">
        <w:rPr>
          <w:rFonts w:ascii="Times New Roman" w:hAnsi="Times New Roman" w:cs="Times New Roman"/>
          <w:sz w:val="24"/>
          <w:szCs w:val="24"/>
        </w:rPr>
        <w:t xml:space="preserve"> of CNV seems to show greater probability of survival</w:t>
      </w:r>
      <w:r w:rsidR="00A71B3C">
        <w:rPr>
          <w:rFonts w:ascii="Times New Roman" w:hAnsi="Times New Roman" w:cs="Times New Roman"/>
          <w:sz w:val="24"/>
          <w:szCs w:val="24"/>
        </w:rPr>
        <w:t xml:space="preserve"> through most of the KM</w:t>
      </w:r>
      <w:r w:rsidR="00C774A9">
        <w:rPr>
          <w:rFonts w:ascii="Times New Roman" w:hAnsi="Times New Roman" w:cs="Times New Roman"/>
          <w:sz w:val="24"/>
          <w:szCs w:val="24"/>
        </w:rPr>
        <w:t xml:space="preserve"> </w:t>
      </w:r>
      <w:r w:rsidR="00A71B3C">
        <w:rPr>
          <w:rFonts w:ascii="Times New Roman" w:hAnsi="Times New Roman" w:cs="Times New Roman"/>
          <w:sz w:val="24"/>
          <w:szCs w:val="24"/>
        </w:rPr>
        <w:t xml:space="preserve">curve for </w:t>
      </w:r>
      <w:r w:rsidR="00A71B3C" w:rsidRPr="0043385D">
        <w:rPr>
          <w:rFonts w:ascii="Times New Roman" w:hAnsi="Times New Roman" w:cs="Times New Roman"/>
          <w:sz w:val="24"/>
          <w:szCs w:val="24"/>
        </w:rPr>
        <w:t>COL5A3.</w:t>
      </w:r>
    </w:p>
    <w:p w14:paraId="160DF038" w14:textId="66B94790"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 xml:space="preserve">Gene COL12A1 </w:t>
      </w:r>
      <w:r w:rsidR="00F34406">
        <w:rPr>
          <w:rFonts w:ascii="Times New Roman" w:hAnsi="Times New Roman" w:cs="Times New Roman"/>
          <w:sz w:val="24"/>
          <w:szCs w:val="24"/>
        </w:rPr>
        <w:t>illustrates</w:t>
      </w:r>
      <w:r w:rsidRPr="0043385D">
        <w:rPr>
          <w:rFonts w:ascii="Times New Roman" w:hAnsi="Times New Roman" w:cs="Times New Roman"/>
          <w:sz w:val="24"/>
          <w:szCs w:val="24"/>
        </w:rPr>
        <w:t xml:space="preserve">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w:t>
      </w:r>
      <w:r w:rsidR="003362D4">
        <w:rPr>
          <w:rFonts w:ascii="Times New Roman" w:hAnsi="Times New Roman" w:cs="Times New Roman"/>
          <w:sz w:val="24"/>
          <w:szCs w:val="24"/>
        </w:rPr>
        <w:t>0</w:t>
      </w:r>
      <w:r w:rsidRPr="0043385D">
        <w:rPr>
          <w:rFonts w:ascii="Times New Roman" w:hAnsi="Times New Roman" w:cs="Times New Roman"/>
          <w:sz w:val="24"/>
          <w:szCs w:val="24"/>
        </w:rPr>
        <w:t xml:space="preserve">00 days, however, </w:t>
      </w:r>
      <w:r w:rsidR="003362D4">
        <w:rPr>
          <w:rFonts w:ascii="Times New Roman" w:eastAsia="Times New Roman" w:hAnsi="Times New Roman" w:cs="Times New Roman"/>
          <w:color w:val="000000"/>
          <w:sz w:val="24"/>
          <w:szCs w:val="24"/>
        </w:rPr>
        <w:t>normal CNV</w:t>
      </w:r>
      <w:r w:rsidRPr="0043385D">
        <w:rPr>
          <w:rFonts w:ascii="Times New Roman" w:eastAsia="Times New Roman" w:hAnsi="Times New Roman" w:cs="Times New Roman"/>
          <w:color w:val="000000"/>
          <w:sz w:val="24"/>
          <w:szCs w:val="24"/>
        </w:rPr>
        <w:t xml:space="preserve"> was not statistically significant in this model.  When comparing deletion against duplication </w:t>
      </w:r>
      <w:r w:rsidR="00A71B3C" w:rsidRPr="0043385D">
        <w:rPr>
          <w:rFonts w:ascii="Times New Roman" w:eastAsia="Times New Roman" w:hAnsi="Times New Roman" w:cs="Times New Roman"/>
          <w:color w:val="000000"/>
          <w:sz w:val="24"/>
          <w:szCs w:val="24"/>
        </w:rPr>
        <w:t xml:space="preserve">CNV </w:t>
      </w:r>
      <w:r w:rsidRPr="0043385D">
        <w:rPr>
          <w:rFonts w:ascii="Times New Roman" w:eastAsia="Times New Roman" w:hAnsi="Times New Roman" w:cs="Times New Roman"/>
          <w:color w:val="000000"/>
          <w:sz w:val="24"/>
          <w:szCs w:val="24"/>
        </w:rPr>
        <w:t xml:space="preserve">in </w:t>
      </w:r>
      <w:r w:rsidR="00A71B3C"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KM</w:t>
      </w:r>
      <w:r w:rsidR="00A71B3C" w:rsidRPr="0043385D">
        <w:rPr>
          <w:rFonts w:ascii="Times New Roman" w:eastAsia="Times New Roman" w:hAnsi="Times New Roman" w:cs="Times New Roman"/>
          <w:color w:val="000000"/>
          <w:sz w:val="24"/>
          <w:szCs w:val="24"/>
        </w:rPr>
        <w:t xml:space="preserve"> curves</w:t>
      </w:r>
      <w:r w:rsidRPr="0043385D">
        <w:rPr>
          <w:rFonts w:ascii="Times New Roman" w:eastAsia="Times New Roman" w:hAnsi="Times New Roman" w:cs="Times New Roman"/>
          <w:color w:val="000000"/>
          <w:sz w:val="24"/>
          <w:szCs w:val="24"/>
        </w:rPr>
        <w:t>, there is a clear distinction between the two since normal is not statistically significant.</w:t>
      </w:r>
    </w:p>
    <w:p w14:paraId="63294747" w14:textId="45160EFC"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eastAsia="Times New Roman" w:hAnsi="Times New Roman" w:cs="Times New Roman"/>
          <w:color w:val="000000"/>
          <w:sz w:val="24"/>
          <w:szCs w:val="24"/>
        </w:rPr>
        <w:t>COL4A3BP is only significant with regards to duplication when compared to deletion</w:t>
      </w:r>
      <w:r w:rsidR="00E84B83">
        <w:rPr>
          <w:rFonts w:ascii="Times New Roman" w:eastAsia="Times New Roman" w:hAnsi="Times New Roman" w:cs="Times New Roman"/>
          <w:color w:val="000000"/>
          <w:sz w:val="24"/>
          <w:szCs w:val="24"/>
        </w:rPr>
        <w:t xml:space="preserve"> CNV</w:t>
      </w:r>
      <w:r w:rsidRPr="0043385D">
        <w:rPr>
          <w:rFonts w:ascii="Times New Roman" w:eastAsia="Times New Roman" w:hAnsi="Times New Roman" w:cs="Times New Roman"/>
          <w:color w:val="000000"/>
          <w:sz w:val="24"/>
          <w:szCs w:val="24"/>
        </w:rPr>
        <w:t xml:space="preserve">.  Normal CNV was not statistically significant and can be seen in the KM curves to closely mimic </w:t>
      </w:r>
      <w:r w:rsidR="005F6C22"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 xml:space="preserve">deletion CNV </w:t>
      </w:r>
      <w:r w:rsidR="005F6C22" w:rsidRPr="0043385D">
        <w:rPr>
          <w:rFonts w:ascii="Times New Roman" w:eastAsia="Times New Roman" w:hAnsi="Times New Roman" w:cs="Times New Roman"/>
          <w:color w:val="000000"/>
          <w:sz w:val="24"/>
          <w:szCs w:val="24"/>
        </w:rPr>
        <w:t>curve</w:t>
      </w:r>
      <w:r w:rsidRPr="0043385D">
        <w:rPr>
          <w:rFonts w:ascii="Times New Roman" w:eastAsia="Times New Roman" w:hAnsi="Times New Roman" w:cs="Times New Roman"/>
          <w:color w:val="000000"/>
          <w:sz w:val="24"/>
          <w:szCs w:val="24"/>
        </w:rPr>
        <w:t>.</w:t>
      </w:r>
    </w:p>
    <w:p w14:paraId="2310EB5E" w14:textId="2F1DFDFA" w:rsidR="00C856F0" w:rsidRDefault="00C856F0" w:rsidP="00DA621F">
      <w:pPr>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Table </w:t>
      </w:r>
      <w:r w:rsidR="008655FF">
        <w:rPr>
          <w:rFonts w:ascii="Times New Roman" w:eastAsia="SimSun" w:hAnsi="Times New Roman" w:cs="Times New Roman"/>
          <w:sz w:val="24"/>
          <w:szCs w:val="24"/>
        </w:rPr>
        <w:t>3</w:t>
      </w:r>
      <w:r>
        <w:rPr>
          <w:rFonts w:ascii="Times New Roman" w:eastAsia="SimSun" w:hAnsi="Times New Roman" w:cs="Times New Roman"/>
          <w:sz w:val="24"/>
          <w:szCs w:val="24"/>
        </w:rPr>
        <w:t xml:space="preserve"> displays log-rank scores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52311647" w14:textId="77777777" w:rsidR="004C5BBF" w:rsidRDefault="004C5BBF">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48D499C9" w14:textId="7D5F75A4" w:rsidR="00C856F0" w:rsidRPr="00C856F0" w:rsidRDefault="00C856F0" w:rsidP="00C856F0">
      <w:pPr>
        <w:spacing w:line="24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Table </w:t>
      </w:r>
      <w:r w:rsidR="008655FF">
        <w:rPr>
          <w:rFonts w:ascii="Times New Roman" w:eastAsia="SimSun" w:hAnsi="Times New Roman" w:cs="Times New Roman"/>
          <w:b/>
          <w:bCs/>
          <w:sz w:val="24"/>
          <w:szCs w:val="24"/>
        </w:rPr>
        <w:t>3</w:t>
      </w:r>
      <w:r>
        <w:rPr>
          <w:rFonts w:ascii="Times New Roman" w:eastAsia="SimSun" w:hAnsi="Times New Roman" w:cs="Times New Roman"/>
          <w:b/>
          <w:bCs/>
          <w:sz w:val="24"/>
          <w:szCs w:val="24"/>
        </w:rPr>
        <w:t>.  Log-rank Scores of Each Stratified Gene.</w:t>
      </w:r>
    </w:p>
    <w:tbl>
      <w:tblPr>
        <w:tblStyle w:val="GridTable4-Accent1"/>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1590"/>
        <w:gridCol w:w="1810"/>
        <w:gridCol w:w="1740"/>
      </w:tblGrid>
      <w:tr w:rsidR="00C856F0" w:rsidRPr="00C856F0" w14:paraId="519ACFDC" w14:textId="77777777" w:rsidTr="00C85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C856F0">
            <w:pPr>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90"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810"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740"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tcBorders>
            <w:noWrap/>
            <w:hideMark/>
          </w:tcPr>
          <w:p w14:paraId="3B2510D3" w14:textId="0F64C33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tcBorders>
              <w:top w:val="single" w:sz="4" w:space="0" w:color="auto"/>
            </w:tcBorders>
            <w:noWrap/>
            <w:hideMark/>
          </w:tcPr>
          <w:p w14:paraId="180349B1"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810" w:type="dxa"/>
            <w:tcBorders>
              <w:top w:val="single" w:sz="4" w:space="0" w:color="auto"/>
            </w:tcBorders>
            <w:noWrap/>
            <w:hideMark/>
          </w:tcPr>
          <w:p w14:paraId="512ED960"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740" w:type="dxa"/>
            <w:tcBorders>
              <w:top w:val="single" w:sz="4" w:space="0" w:color="auto"/>
            </w:tcBorders>
            <w:noWrap/>
            <w:hideMark/>
          </w:tcPr>
          <w:p w14:paraId="0D561C0F"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5FAA579" w14:textId="27A1A099"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4BAAC828"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810" w:type="dxa"/>
            <w:noWrap/>
            <w:hideMark/>
          </w:tcPr>
          <w:p w14:paraId="71CD7F05"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740" w:type="dxa"/>
            <w:noWrap/>
            <w:hideMark/>
          </w:tcPr>
          <w:p w14:paraId="738ED082"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226A51E2" w14:textId="2A0C044C"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63D4107C"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810" w:type="dxa"/>
            <w:noWrap/>
            <w:hideMark/>
          </w:tcPr>
          <w:p w14:paraId="59894687"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740" w:type="dxa"/>
            <w:noWrap/>
            <w:hideMark/>
          </w:tcPr>
          <w:p w14:paraId="02638EF3"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87DC2B9" w14:textId="5AC9E21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2BA3E1AA"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810" w:type="dxa"/>
            <w:noWrap/>
            <w:hideMark/>
          </w:tcPr>
          <w:p w14:paraId="491501E9"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740" w:type="dxa"/>
            <w:noWrap/>
            <w:hideMark/>
          </w:tcPr>
          <w:p w14:paraId="45F7289A"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0C3BAEDA" w14:textId="0DF358C9"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68AF8648"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810" w:type="dxa"/>
            <w:noWrap/>
            <w:hideMark/>
          </w:tcPr>
          <w:p w14:paraId="30BF74FD" w14:textId="6FDD95EC"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740" w:type="dxa"/>
            <w:noWrap/>
            <w:hideMark/>
          </w:tcPr>
          <w:p w14:paraId="3BF7D8EA"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4F5C5C46" w14:textId="381C8E87"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254CBA34"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810" w:type="dxa"/>
            <w:noWrap/>
            <w:hideMark/>
          </w:tcPr>
          <w:p w14:paraId="0B902F64"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740" w:type="dxa"/>
            <w:noWrap/>
            <w:hideMark/>
          </w:tcPr>
          <w:p w14:paraId="3576C248"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7AAB161" w14:textId="3A7B144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4A63C834"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810" w:type="dxa"/>
            <w:noWrap/>
            <w:hideMark/>
          </w:tcPr>
          <w:p w14:paraId="7104574B"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740" w:type="dxa"/>
            <w:noWrap/>
            <w:hideMark/>
          </w:tcPr>
          <w:p w14:paraId="4E95C15F"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3A60DFB7" w14:textId="1EC58C10"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31733949"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810" w:type="dxa"/>
            <w:noWrap/>
            <w:hideMark/>
          </w:tcPr>
          <w:p w14:paraId="2C697C23"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740" w:type="dxa"/>
            <w:noWrap/>
            <w:hideMark/>
          </w:tcPr>
          <w:p w14:paraId="65CC23A7"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ABF1FAD" w14:textId="1B9AF1FE"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90" w:type="dxa"/>
            <w:noWrap/>
            <w:hideMark/>
          </w:tcPr>
          <w:p w14:paraId="712F1FF0"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810" w:type="dxa"/>
            <w:noWrap/>
            <w:hideMark/>
          </w:tcPr>
          <w:p w14:paraId="37E93033"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740" w:type="dxa"/>
            <w:noWrap/>
            <w:hideMark/>
          </w:tcPr>
          <w:p w14:paraId="07EAF1AB"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7EEB4C5A" w14:textId="51A363CC" w:rsidR="00E60AC5" w:rsidRPr="00E60AC5" w:rsidRDefault="00AB5461" w:rsidP="00E60AC5">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Pr="00E60AC5">
        <w:rPr>
          <w:rFonts w:ascii="Times New Roman" w:hAnsi="Times New Roman" w:cs="Times New Roman"/>
          <w:sz w:val="24"/>
          <w:szCs w:val="24"/>
        </w:rPr>
        <w:t>.</w:t>
      </w:r>
      <w:r w:rsidR="00E60AC5">
        <w:rPr>
          <w:rFonts w:ascii="Times New Roman" w:hAnsi="Times New Roman" w:cs="Times New Roman"/>
          <w:b/>
          <w:bCs/>
          <w:sz w:val="24"/>
          <w:szCs w:val="24"/>
        </w:rPr>
        <w:br/>
      </w:r>
      <w:r w:rsidR="00E60AC5" w:rsidRPr="00E60AC5">
        <w:rPr>
          <w:rFonts w:ascii="Times New Roman" w:hAnsi="Times New Roman" w:cs="Times New Roman"/>
          <w:b/>
          <w:bCs/>
          <w:sz w:val="24"/>
          <w:szCs w:val="24"/>
        </w:rPr>
        <w:t xml:space="preserve">Highlighted in red are observed events </w:t>
      </w:r>
      <w:r w:rsidR="00F933E1">
        <w:rPr>
          <w:rFonts w:ascii="Times New Roman" w:hAnsi="Times New Roman" w:cs="Times New Roman"/>
          <w:b/>
          <w:bCs/>
          <w:sz w:val="24"/>
          <w:szCs w:val="24"/>
        </w:rPr>
        <w:t>which are greater</w:t>
      </w:r>
      <w:r w:rsidR="00E60AC5" w:rsidRPr="00E60AC5">
        <w:rPr>
          <w:rFonts w:ascii="Times New Roman" w:hAnsi="Times New Roman" w:cs="Times New Roman"/>
          <w:b/>
          <w:bCs/>
          <w:sz w:val="24"/>
          <w:szCs w:val="24"/>
        </w:rPr>
        <w:t xml:space="preserve"> than expected events, showing a decreased probability of survival in the models.</w:t>
      </w:r>
      <w:r w:rsidR="00E60AC5">
        <w:rPr>
          <w:rFonts w:ascii="Times New Roman" w:hAnsi="Times New Roman" w:cs="Times New Roman"/>
          <w:b/>
          <w:bCs/>
          <w:sz w:val="24"/>
          <w:szCs w:val="24"/>
        </w:rPr>
        <w:br/>
      </w:r>
    </w:p>
    <w:p w14:paraId="0CE4A8EA" w14:textId="2C6DE271" w:rsidR="00C856F0" w:rsidRDefault="00C856F0" w:rsidP="004E6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Log-rank scores show the numerical differences in events that are expected vs observed.  </w:t>
      </w:r>
    </w:p>
    <w:p w14:paraId="24872C01" w14:textId="2874AF2D" w:rsidR="009912C4" w:rsidRDefault="00AB1DDB"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Hazard models plotted over time are displayed in Appendix D.  The beta line is not within the 95% confidence interval one hundred percent of the time for any of the three models.  However, these models still have </w:t>
      </w:r>
      <w:r w:rsidR="00DF1765">
        <w:rPr>
          <w:rFonts w:ascii="Times New Roman" w:hAnsi="Times New Roman" w:cs="Times New Roman"/>
          <w:sz w:val="24"/>
          <w:szCs w:val="24"/>
        </w:rPr>
        <w:t>good fit to the data.</w:t>
      </w:r>
    </w:p>
    <w:p w14:paraId="1F7112D6" w14:textId="59AF61BE" w:rsidR="008655FF" w:rsidRDefault="008655F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4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5A5DC7">
        <w:rPr>
          <w:rFonts w:ascii="Times New Roman" w:hAnsi="Times New Roman" w:cs="Times New Roman"/>
          <w:sz w:val="24"/>
          <w:szCs w:val="24"/>
        </w:rPr>
        <w:t xml:space="preserve"> with asterisk marking statistical </w:t>
      </w:r>
      <w:r w:rsidR="00C4447A">
        <w:rPr>
          <w:rFonts w:ascii="Times New Roman" w:hAnsi="Times New Roman" w:cs="Times New Roman"/>
          <w:sz w:val="24"/>
          <w:szCs w:val="24"/>
        </w:rPr>
        <w:t>significance</w:t>
      </w:r>
      <w:r>
        <w:rPr>
          <w:rFonts w:ascii="Times New Roman" w:hAnsi="Times New Roman" w:cs="Times New Roman"/>
          <w:sz w:val="24"/>
          <w:szCs w:val="24"/>
        </w:rPr>
        <w:t>.</w:t>
      </w:r>
    </w:p>
    <w:p w14:paraId="25C2C76F" w14:textId="77777777" w:rsidR="00C242E2" w:rsidRDefault="00C242E2">
      <w:pPr>
        <w:rPr>
          <w:rFonts w:ascii="Times New Roman" w:hAnsi="Times New Roman" w:cs="Times New Roman"/>
          <w:b/>
          <w:bCs/>
          <w:sz w:val="24"/>
          <w:szCs w:val="24"/>
        </w:rPr>
      </w:pPr>
      <w:r>
        <w:rPr>
          <w:rFonts w:ascii="Times New Roman" w:hAnsi="Times New Roman" w:cs="Times New Roman"/>
          <w:b/>
          <w:bCs/>
          <w:sz w:val="24"/>
          <w:szCs w:val="24"/>
        </w:rPr>
        <w:br w:type="page"/>
      </w:r>
    </w:p>
    <w:p w14:paraId="42D3E127" w14:textId="5B310699" w:rsidR="005A5DC7" w:rsidRPr="005A5DC7" w:rsidRDefault="005A5DC7" w:rsidP="005A5DC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4. Median Days of Survival </w:t>
      </w:r>
      <w:r w:rsidR="00423318">
        <w:rPr>
          <w:rFonts w:ascii="Times New Roman" w:hAnsi="Times New Roman" w:cs="Times New Roman"/>
          <w:b/>
          <w:bCs/>
          <w:sz w:val="24"/>
          <w:szCs w:val="24"/>
        </w:rPr>
        <w:t>w</w:t>
      </w:r>
      <w:r>
        <w:rPr>
          <w:rFonts w:ascii="Times New Roman" w:hAnsi="Times New Roman" w:cs="Times New Roman"/>
          <w:b/>
          <w:bCs/>
          <w:sz w:val="24"/>
          <w:szCs w:val="24"/>
        </w:rPr>
        <w:t>ith Confidence Interval Limits</w:t>
      </w:r>
    </w:p>
    <w:tbl>
      <w:tblPr>
        <w:tblStyle w:val="GridTable4-Accent1"/>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edian Days of Survival With Confidence Interval Limits"/>
      </w:tblPr>
      <w:tblGrid>
        <w:gridCol w:w="3228"/>
        <w:gridCol w:w="1182"/>
        <w:gridCol w:w="1182"/>
        <w:gridCol w:w="1182"/>
        <w:gridCol w:w="1298"/>
        <w:gridCol w:w="1313"/>
      </w:tblGrid>
      <w:tr w:rsidR="005A5DC7" w:rsidRPr="005A5DC7" w14:paraId="3FE2F124" w14:textId="77777777" w:rsidTr="005A5DC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none" w:sz="0" w:space="0" w:color="auto"/>
              <w:left w:val="none" w:sz="0" w:space="0" w:color="auto"/>
              <w:bottom w:val="none" w:sz="0" w:space="0" w:color="auto"/>
              <w:right w:val="none" w:sz="0" w:space="0" w:color="auto"/>
            </w:tcBorders>
            <w:noWrap/>
            <w:hideMark/>
          </w:tcPr>
          <w:p w14:paraId="23198897" w14:textId="77777777" w:rsidR="005A5DC7" w:rsidRPr="005A5DC7" w:rsidRDefault="005A5DC7" w:rsidP="005A5DC7">
            <w:pPr>
              <w:jc w:val="center"/>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Name</w:t>
            </w:r>
          </w:p>
        </w:tc>
        <w:tc>
          <w:tcPr>
            <w:tcW w:w="1182" w:type="dxa"/>
            <w:tcBorders>
              <w:top w:val="none" w:sz="0" w:space="0" w:color="auto"/>
              <w:left w:val="none" w:sz="0" w:space="0" w:color="auto"/>
              <w:bottom w:val="none" w:sz="0" w:space="0" w:color="auto"/>
              <w:right w:val="none" w:sz="0" w:space="0" w:color="auto"/>
            </w:tcBorders>
            <w:noWrap/>
            <w:hideMark/>
          </w:tcPr>
          <w:p w14:paraId="2599CDB8"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w:t>
            </w:r>
          </w:p>
        </w:tc>
        <w:tc>
          <w:tcPr>
            <w:tcW w:w="1182" w:type="dxa"/>
            <w:tcBorders>
              <w:top w:val="none" w:sz="0" w:space="0" w:color="auto"/>
              <w:left w:val="none" w:sz="0" w:space="0" w:color="auto"/>
              <w:bottom w:val="none" w:sz="0" w:space="0" w:color="auto"/>
              <w:right w:val="none" w:sz="0" w:space="0" w:color="auto"/>
            </w:tcBorders>
            <w:noWrap/>
            <w:hideMark/>
          </w:tcPr>
          <w:p w14:paraId="1875C80D"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Events</w:t>
            </w:r>
          </w:p>
        </w:tc>
        <w:tc>
          <w:tcPr>
            <w:tcW w:w="1182" w:type="dxa"/>
            <w:tcBorders>
              <w:top w:val="none" w:sz="0" w:space="0" w:color="auto"/>
              <w:left w:val="none" w:sz="0" w:space="0" w:color="auto"/>
              <w:bottom w:val="none" w:sz="0" w:space="0" w:color="auto"/>
              <w:right w:val="none" w:sz="0" w:space="0" w:color="auto"/>
            </w:tcBorders>
            <w:noWrap/>
            <w:hideMark/>
          </w:tcPr>
          <w:p w14:paraId="79885F64" w14:textId="05320B5C"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Median</w:t>
            </w:r>
          </w:p>
        </w:tc>
        <w:tc>
          <w:tcPr>
            <w:tcW w:w="1298" w:type="dxa"/>
            <w:tcBorders>
              <w:top w:val="none" w:sz="0" w:space="0" w:color="auto"/>
              <w:left w:val="none" w:sz="0" w:space="0" w:color="auto"/>
              <w:bottom w:val="none" w:sz="0" w:space="0" w:color="auto"/>
              <w:right w:val="none" w:sz="0" w:space="0" w:color="auto"/>
            </w:tcBorders>
            <w:noWrap/>
            <w:hideMark/>
          </w:tcPr>
          <w:p w14:paraId="7FC07E84"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0.95LCL</w:t>
            </w:r>
          </w:p>
        </w:tc>
        <w:tc>
          <w:tcPr>
            <w:tcW w:w="1313" w:type="dxa"/>
            <w:tcBorders>
              <w:top w:val="none" w:sz="0" w:space="0" w:color="auto"/>
              <w:left w:val="none" w:sz="0" w:space="0" w:color="auto"/>
              <w:bottom w:val="none" w:sz="0" w:space="0" w:color="auto"/>
              <w:right w:val="none" w:sz="0" w:space="0" w:color="auto"/>
            </w:tcBorders>
            <w:noWrap/>
            <w:hideMark/>
          </w:tcPr>
          <w:p w14:paraId="16C287DD"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0.95UCL</w:t>
            </w:r>
          </w:p>
        </w:tc>
      </w:tr>
      <w:tr w:rsidR="005A5DC7" w:rsidRPr="005A5DC7" w14:paraId="5E56C24E"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0049D357" w14:textId="7E9AC6F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COL12A1=Deletion</w:t>
            </w:r>
            <w:r>
              <w:rPr>
                <w:rFonts w:ascii="Times New Roman" w:eastAsia="Times New Roman" w:hAnsi="Times New Roman" w:cs="Times New Roman"/>
              </w:rPr>
              <w:t>*</w:t>
            </w:r>
          </w:p>
        </w:tc>
        <w:tc>
          <w:tcPr>
            <w:tcW w:w="1182" w:type="dxa"/>
            <w:noWrap/>
            <w:hideMark/>
          </w:tcPr>
          <w:p w14:paraId="2B3D5B3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196</w:t>
            </w:r>
          </w:p>
        </w:tc>
        <w:tc>
          <w:tcPr>
            <w:tcW w:w="1182" w:type="dxa"/>
            <w:noWrap/>
            <w:hideMark/>
          </w:tcPr>
          <w:p w14:paraId="6BE21A8F"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118</w:t>
            </w:r>
          </w:p>
        </w:tc>
        <w:tc>
          <w:tcPr>
            <w:tcW w:w="1182" w:type="dxa"/>
            <w:noWrap/>
            <w:hideMark/>
          </w:tcPr>
          <w:p w14:paraId="5C21E1A6"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1259</w:t>
            </w:r>
          </w:p>
        </w:tc>
        <w:tc>
          <w:tcPr>
            <w:tcW w:w="1298" w:type="dxa"/>
            <w:noWrap/>
            <w:hideMark/>
          </w:tcPr>
          <w:p w14:paraId="1ADA8755"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1091</w:t>
            </w:r>
          </w:p>
        </w:tc>
        <w:tc>
          <w:tcPr>
            <w:tcW w:w="1313" w:type="dxa"/>
            <w:noWrap/>
            <w:hideMark/>
          </w:tcPr>
          <w:p w14:paraId="4C867C2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1380</w:t>
            </w:r>
          </w:p>
        </w:tc>
      </w:tr>
      <w:tr w:rsidR="005A5DC7" w:rsidRPr="005A5DC7" w14:paraId="00ECA0D7"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4169231F" w14:textId="12D043E8"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COL12A1=Duplication</w:t>
            </w:r>
            <w:r>
              <w:rPr>
                <w:rFonts w:ascii="Times New Roman" w:eastAsia="Times New Roman" w:hAnsi="Times New Roman" w:cs="Times New Roman"/>
                <w:color w:val="000000"/>
              </w:rPr>
              <w:t>*</w:t>
            </w:r>
          </w:p>
        </w:tc>
        <w:tc>
          <w:tcPr>
            <w:tcW w:w="1182" w:type="dxa"/>
            <w:tcBorders>
              <w:bottom w:val="single" w:sz="4" w:space="0" w:color="auto"/>
            </w:tcBorders>
            <w:noWrap/>
            <w:hideMark/>
          </w:tcPr>
          <w:p w14:paraId="79752E9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134</w:t>
            </w:r>
          </w:p>
        </w:tc>
        <w:tc>
          <w:tcPr>
            <w:tcW w:w="1182" w:type="dxa"/>
            <w:tcBorders>
              <w:bottom w:val="single" w:sz="4" w:space="0" w:color="auto"/>
            </w:tcBorders>
            <w:noWrap/>
            <w:hideMark/>
          </w:tcPr>
          <w:p w14:paraId="1F89E20D"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60</w:t>
            </w:r>
          </w:p>
        </w:tc>
        <w:tc>
          <w:tcPr>
            <w:tcW w:w="1182" w:type="dxa"/>
            <w:tcBorders>
              <w:bottom w:val="single" w:sz="4" w:space="0" w:color="auto"/>
            </w:tcBorders>
            <w:noWrap/>
            <w:hideMark/>
          </w:tcPr>
          <w:p w14:paraId="07B1DC6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1451</w:t>
            </w:r>
          </w:p>
        </w:tc>
        <w:tc>
          <w:tcPr>
            <w:tcW w:w="1298" w:type="dxa"/>
            <w:tcBorders>
              <w:bottom w:val="single" w:sz="4" w:space="0" w:color="auto"/>
            </w:tcBorders>
            <w:noWrap/>
            <w:hideMark/>
          </w:tcPr>
          <w:p w14:paraId="4D60059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1204</w:t>
            </w:r>
          </w:p>
        </w:tc>
        <w:tc>
          <w:tcPr>
            <w:tcW w:w="1313" w:type="dxa"/>
            <w:tcBorders>
              <w:bottom w:val="single" w:sz="4" w:space="0" w:color="auto"/>
            </w:tcBorders>
            <w:noWrap/>
            <w:hideMark/>
          </w:tcPr>
          <w:p w14:paraId="77C2A2CE"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2148</w:t>
            </w:r>
          </w:p>
        </w:tc>
      </w:tr>
      <w:tr w:rsidR="005A5DC7" w:rsidRPr="005A5DC7" w14:paraId="2311DE83"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10E31015" w14:textId="481D2F1C"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COL12A1=Normal</w:t>
            </w:r>
          </w:p>
        </w:tc>
        <w:tc>
          <w:tcPr>
            <w:tcW w:w="1182" w:type="dxa"/>
            <w:tcBorders>
              <w:bottom w:val="single" w:sz="4" w:space="0" w:color="auto"/>
            </w:tcBorders>
            <w:noWrap/>
            <w:hideMark/>
          </w:tcPr>
          <w:p w14:paraId="71EC9D0A"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234</w:t>
            </w:r>
          </w:p>
        </w:tc>
        <w:tc>
          <w:tcPr>
            <w:tcW w:w="1182" w:type="dxa"/>
            <w:tcBorders>
              <w:bottom w:val="single" w:sz="4" w:space="0" w:color="auto"/>
            </w:tcBorders>
            <w:noWrap/>
            <w:hideMark/>
          </w:tcPr>
          <w:p w14:paraId="1D5182C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113</w:t>
            </w:r>
          </w:p>
        </w:tc>
        <w:tc>
          <w:tcPr>
            <w:tcW w:w="1182" w:type="dxa"/>
            <w:tcBorders>
              <w:bottom w:val="single" w:sz="4" w:space="0" w:color="auto"/>
            </w:tcBorders>
            <w:noWrap/>
            <w:hideMark/>
          </w:tcPr>
          <w:p w14:paraId="5B13E5F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1249</w:t>
            </w:r>
          </w:p>
        </w:tc>
        <w:tc>
          <w:tcPr>
            <w:tcW w:w="1298" w:type="dxa"/>
            <w:tcBorders>
              <w:bottom w:val="single" w:sz="4" w:space="0" w:color="auto"/>
            </w:tcBorders>
            <w:noWrap/>
            <w:hideMark/>
          </w:tcPr>
          <w:p w14:paraId="2568FE82"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1249</w:t>
            </w:r>
          </w:p>
        </w:tc>
        <w:tc>
          <w:tcPr>
            <w:tcW w:w="1313" w:type="dxa"/>
            <w:tcBorders>
              <w:bottom w:val="single" w:sz="4" w:space="0" w:color="auto"/>
            </w:tcBorders>
            <w:noWrap/>
            <w:hideMark/>
          </w:tcPr>
          <w:p w14:paraId="47F87E4B"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1686</w:t>
            </w:r>
          </w:p>
        </w:tc>
      </w:tr>
      <w:tr w:rsidR="005A5DC7" w:rsidRPr="005A5DC7" w14:paraId="3D57C388"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left w:val="single" w:sz="4" w:space="0" w:color="auto"/>
              <w:bottom w:val="single" w:sz="4" w:space="0" w:color="auto"/>
              <w:right w:val="single" w:sz="4" w:space="0" w:color="auto"/>
            </w:tcBorders>
            <w:noWrap/>
            <w:hideMark/>
          </w:tcPr>
          <w:p w14:paraId="7F920434" w14:textId="4BA1D4FC"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COL4A3BP=Deletion</w:t>
            </w:r>
            <w:r>
              <w:rPr>
                <w:rFonts w:ascii="Times New Roman" w:eastAsia="Times New Roman" w:hAnsi="Times New Roman" w:cs="Times New Roman"/>
              </w:rPr>
              <w:t>*</w:t>
            </w:r>
          </w:p>
        </w:tc>
        <w:tc>
          <w:tcPr>
            <w:tcW w:w="1182" w:type="dxa"/>
            <w:tcBorders>
              <w:top w:val="single" w:sz="4" w:space="0" w:color="auto"/>
              <w:left w:val="single" w:sz="4" w:space="0" w:color="auto"/>
              <w:bottom w:val="single" w:sz="4" w:space="0" w:color="auto"/>
              <w:right w:val="single" w:sz="4" w:space="0" w:color="auto"/>
            </w:tcBorders>
            <w:noWrap/>
            <w:hideMark/>
          </w:tcPr>
          <w:p w14:paraId="1FB83D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410</w:t>
            </w:r>
          </w:p>
        </w:tc>
        <w:tc>
          <w:tcPr>
            <w:tcW w:w="1182" w:type="dxa"/>
            <w:tcBorders>
              <w:top w:val="single" w:sz="4" w:space="0" w:color="auto"/>
              <w:left w:val="single" w:sz="4" w:space="0" w:color="auto"/>
              <w:bottom w:val="single" w:sz="4" w:space="0" w:color="auto"/>
              <w:right w:val="single" w:sz="4" w:space="0" w:color="auto"/>
            </w:tcBorders>
            <w:noWrap/>
            <w:hideMark/>
          </w:tcPr>
          <w:p w14:paraId="7A0BB0E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207</w:t>
            </w:r>
          </w:p>
        </w:tc>
        <w:tc>
          <w:tcPr>
            <w:tcW w:w="1182" w:type="dxa"/>
            <w:tcBorders>
              <w:top w:val="single" w:sz="4" w:space="0" w:color="auto"/>
              <w:left w:val="single" w:sz="4" w:space="0" w:color="auto"/>
              <w:bottom w:val="single" w:sz="4" w:space="0" w:color="auto"/>
              <w:right w:val="single" w:sz="4" w:space="0" w:color="auto"/>
            </w:tcBorders>
            <w:noWrap/>
            <w:hideMark/>
          </w:tcPr>
          <w:p w14:paraId="2D8DA3AC"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1336</w:t>
            </w:r>
          </w:p>
        </w:tc>
        <w:tc>
          <w:tcPr>
            <w:tcW w:w="1298" w:type="dxa"/>
            <w:tcBorders>
              <w:top w:val="single" w:sz="4" w:space="0" w:color="auto"/>
              <w:left w:val="single" w:sz="4" w:space="0" w:color="auto"/>
              <w:bottom w:val="single" w:sz="4" w:space="0" w:color="auto"/>
              <w:right w:val="single" w:sz="4" w:space="0" w:color="auto"/>
            </w:tcBorders>
            <w:noWrap/>
            <w:hideMark/>
          </w:tcPr>
          <w:p w14:paraId="2DCCC1BF"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1204</w:t>
            </w:r>
          </w:p>
        </w:tc>
        <w:tc>
          <w:tcPr>
            <w:tcW w:w="1313" w:type="dxa"/>
            <w:tcBorders>
              <w:top w:val="single" w:sz="4" w:space="0" w:color="auto"/>
              <w:left w:val="single" w:sz="4" w:space="0" w:color="auto"/>
              <w:bottom w:val="single" w:sz="4" w:space="0" w:color="auto"/>
              <w:right w:val="single" w:sz="4" w:space="0" w:color="auto"/>
            </w:tcBorders>
            <w:noWrap/>
            <w:hideMark/>
          </w:tcPr>
          <w:p w14:paraId="233182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1492</w:t>
            </w:r>
          </w:p>
        </w:tc>
      </w:tr>
      <w:tr w:rsidR="005A5DC7" w:rsidRPr="005A5DC7" w14:paraId="14288EA8"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tcBorders>
            <w:noWrap/>
            <w:hideMark/>
          </w:tcPr>
          <w:p w14:paraId="6AF50DD2" w14:textId="1A74A9B5"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COL4A3BP=Duplication</w:t>
            </w:r>
            <w:r>
              <w:rPr>
                <w:rFonts w:ascii="Times New Roman" w:eastAsia="Times New Roman" w:hAnsi="Times New Roman" w:cs="Times New Roman"/>
                <w:color w:val="000000"/>
              </w:rPr>
              <w:t>*</w:t>
            </w:r>
          </w:p>
        </w:tc>
        <w:tc>
          <w:tcPr>
            <w:tcW w:w="1182" w:type="dxa"/>
            <w:tcBorders>
              <w:top w:val="single" w:sz="4" w:space="0" w:color="auto"/>
            </w:tcBorders>
            <w:noWrap/>
            <w:hideMark/>
          </w:tcPr>
          <w:p w14:paraId="5620343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w:t>
            </w:r>
          </w:p>
        </w:tc>
        <w:tc>
          <w:tcPr>
            <w:tcW w:w="1182" w:type="dxa"/>
            <w:tcBorders>
              <w:top w:val="single" w:sz="4" w:space="0" w:color="auto"/>
            </w:tcBorders>
            <w:noWrap/>
            <w:hideMark/>
          </w:tcPr>
          <w:p w14:paraId="2C7EFBD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w:t>
            </w:r>
          </w:p>
        </w:tc>
        <w:tc>
          <w:tcPr>
            <w:tcW w:w="1182" w:type="dxa"/>
            <w:tcBorders>
              <w:top w:val="single" w:sz="4" w:space="0" w:color="auto"/>
            </w:tcBorders>
            <w:noWrap/>
            <w:hideMark/>
          </w:tcPr>
          <w:p w14:paraId="1E9132B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457</w:t>
            </w:r>
          </w:p>
        </w:tc>
        <w:tc>
          <w:tcPr>
            <w:tcW w:w="1298" w:type="dxa"/>
            <w:tcBorders>
              <w:top w:val="single" w:sz="4" w:space="0" w:color="auto"/>
            </w:tcBorders>
            <w:noWrap/>
            <w:hideMark/>
          </w:tcPr>
          <w:p w14:paraId="4354544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256</w:t>
            </w:r>
          </w:p>
        </w:tc>
        <w:tc>
          <w:tcPr>
            <w:tcW w:w="1313" w:type="dxa"/>
            <w:tcBorders>
              <w:top w:val="single" w:sz="4" w:space="0" w:color="auto"/>
            </w:tcBorders>
            <w:noWrap/>
            <w:hideMark/>
          </w:tcPr>
          <w:p w14:paraId="1531020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NA</w:t>
            </w:r>
          </w:p>
        </w:tc>
      </w:tr>
      <w:tr w:rsidR="005A5DC7" w:rsidRPr="005A5DC7" w14:paraId="0C077249"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2F58604" w14:textId="77777777"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COL4A3BP=Normal</w:t>
            </w:r>
          </w:p>
        </w:tc>
        <w:tc>
          <w:tcPr>
            <w:tcW w:w="1182" w:type="dxa"/>
            <w:noWrap/>
            <w:hideMark/>
          </w:tcPr>
          <w:p w14:paraId="5023302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w:t>
            </w:r>
          </w:p>
        </w:tc>
        <w:tc>
          <w:tcPr>
            <w:tcW w:w="1182" w:type="dxa"/>
            <w:noWrap/>
            <w:hideMark/>
          </w:tcPr>
          <w:p w14:paraId="70FA326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72</w:t>
            </w:r>
          </w:p>
        </w:tc>
        <w:tc>
          <w:tcPr>
            <w:tcW w:w="1182" w:type="dxa"/>
            <w:noWrap/>
            <w:hideMark/>
          </w:tcPr>
          <w:p w14:paraId="496BD5F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1384</w:t>
            </w:r>
          </w:p>
        </w:tc>
        <w:tc>
          <w:tcPr>
            <w:tcW w:w="1298" w:type="dxa"/>
            <w:noWrap/>
            <w:hideMark/>
          </w:tcPr>
          <w:p w14:paraId="48FCEC1A"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1213</w:t>
            </w:r>
          </w:p>
        </w:tc>
        <w:tc>
          <w:tcPr>
            <w:tcW w:w="1313" w:type="dxa"/>
            <w:noWrap/>
            <w:hideMark/>
          </w:tcPr>
          <w:p w14:paraId="29FA8D3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1686</w:t>
            </w:r>
          </w:p>
        </w:tc>
      </w:tr>
      <w:tr w:rsidR="005A5DC7" w:rsidRPr="005A5DC7" w14:paraId="254C0F7F"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14B81A10" w14:textId="089F364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COL5A3=Deletion</w:t>
            </w:r>
            <w:r>
              <w:rPr>
                <w:rFonts w:ascii="Times New Roman" w:eastAsia="Times New Roman" w:hAnsi="Times New Roman" w:cs="Times New Roman"/>
              </w:rPr>
              <w:t>*</w:t>
            </w:r>
          </w:p>
        </w:tc>
        <w:tc>
          <w:tcPr>
            <w:tcW w:w="1182" w:type="dxa"/>
            <w:noWrap/>
            <w:hideMark/>
          </w:tcPr>
          <w:p w14:paraId="75CC8C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193</w:t>
            </w:r>
          </w:p>
        </w:tc>
        <w:tc>
          <w:tcPr>
            <w:tcW w:w="1182" w:type="dxa"/>
            <w:noWrap/>
            <w:hideMark/>
          </w:tcPr>
          <w:p w14:paraId="433665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w:t>
            </w:r>
          </w:p>
        </w:tc>
        <w:tc>
          <w:tcPr>
            <w:tcW w:w="1182" w:type="dxa"/>
            <w:noWrap/>
            <w:hideMark/>
          </w:tcPr>
          <w:p w14:paraId="18E02A6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1102</w:t>
            </w:r>
          </w:p>
        </w:tc>
        <w:tc>
          <w:tcPr>
            <w:tcW w:w="1298" w:type="dxa"/>
            <w:noWrap/>
            <w:hideMark/>
          </w:tcPr>
          <w:p w14:paraId="6AC6870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1046</w:t>
            </w:r>
          </w:p>
        </w:tc>
        <w:tc>
          <w:tcPr>
            <w:tcW w:w="1313" w:type="dxa"/>
            <w:noWrap/>
            <w:hideMark/>
          </w:tcPr>
          <w:p w14:paraId="5D3715C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1264</w:t>
            </w:r>
          </w:p>
        </w:tc>
      </w:tr>
      <w:tr w:rsidR="005A5DC7" w:rsidRPr="005A5DC7" w14:paraId="20F1BCC0"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1FB538D" w14:textId="5EF24477"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COL5A3=Duplication</w:t>
            </w:r>
            <w:r>
              <w:rPr>
                <w:rFonts w:ascii="Times New Roman" w:eastAsia="Times New Roman" w:hAnsi="Times New Roman" w:cs="Times New Roman"/>
              </w:rPr>
              <w:t>*</w:t>
            </w:r>
          </w:p>
        </w:tc>
        <w:tc>
          <w:tcPr>
            <w:tcW w:w="1182" w:type="dxa"/>
            <w:noWrap/>
            <w:hideMark/>
          </w:tcPr>
          <w:p w14:paraId="51C12EF3"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217</w:t>
            </w:r>
          </w:p>
        </w:tc>
        <w:tc>
          <w:tcPr>
            <w:tcW w:w="1182" w:type="dxa"/>
            <w:noWrap/>
            <w:hideMark/>
          </w:tcPr>
          <w:p w14:paraId="7B32FB5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105</w:t>
            </w:r>
          </w:p>
        </w:tc>
        <w:tc>
          <w:tcPr>
            <w:tcW w:w="1182" w:type="dxa"/>
            <w:noWrap/>
            <w:hideMark/>
          </w:tcPr>
          <w:p w14:paraId="6DE0208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1446</w:t>
            </w:r>
          </w:p>
        </w:tc>
        <w:tc>
          <w:tcPr>
            <w:tcW w:w="1298" w:type="dxa"/>
            <w:noWrap/>
            <w:hideMark/>
          </w:tcPr>
          <w:p w14:paraId="4A4BB2D4"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1278</w:t>
            </w:r>
          </w:p>
        </w:tc>
        <w:tc>
          <w:tcPr>
            <w:tcW w:w="1313" w:type="dxa"/>
            <w:noWrap/>
            <w:hideMark/>
          </w:tcPr>
          <w:p w14:paraId="5518513F"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1595</w:t>
            </w:r>
          </w:p>
        </w:tc>
      </w:tr>
      <w:tr w:rsidR="005A5DC7" w:rsidRPr="005A5DC7" w14:paraId="7190E782"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4E2C393" w14:textId="0F39810B"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COL5A3=Normal</w:t>
            </w:r>
            <w:r>
              <w:rPr>
                <w:rFonts w:ascii="Times New Roman" w:eastAsia="Times New Roman" w:hAnsi="Times New Roman" w:cs="Times New Roman"/>
              </w:rPr>
              <w:t>*</w:t>
            </w:r>
          </w:p>
        </w:tc>
        <w:tc>
          <w:tcPr>
            <w:tcW w:w="1182" w:type="dxa"/>
            <w:noWrap/>
            <w:hideMark/>
          </w:tcPr>
          <w:p w14:paraId="3A75D69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154</w:t>
            </w:r>
          </w:p>
        </w:tc>
        <w:tc>
          <w:tcPr>
            <w:tcW w:w="1182" w:type="dxa"/>
            <w:noWrap/>
            <w:hideMark/>
          </w:tcPr>
          <w:p w14:paraId="55B61FD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76</w:t>
            </w:r>
          </w:p>
        </w:tc>
        <w:tc>
          <w:tcPr>
            <w:tcW w:w="1182" w:type="dxa"/>
            <w:noWrap/>
            <w:hideMark/>
          </w:tcPr>
          <w:p w14:paraId="46EF8146"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1516</w:t>
            </w:r>
          </w:p>
        </w:tc>
        <w:tc>
          <w:tcPr>
            <w:tcW w:w="1298" w:type="dxa"/>
            <w:noWrap/>
            <w:hideMark/>
          </w:tcPr>
          <w:p w14:paraId="6D3F26E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1364</w:t>
            </w:r>
          </w:p>
        </w:tc>
        <w:tc>
          <w:tcPr>
            <w:tcW w:w="1313" w:type="dxa"/>
            <w:noWrap/>
            <w:hideMark/>
          </w:tcPr>
          <w:p w14:paraId="2AC563C3"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1757</w:t>
            </w:r>
          </w:p>
        </w:tc>
      </w:tr>
    </w:tbl>
    <w:p w14:paraId="3F4EB848" w14:textId="77777777" w:rsidR="00930374" w:rsidRDefault="00930374" w:rsidP="00930374">
      <w:pPr>
        <w:spacing w:line="480" w:lineRule="auto"/>
        <w:rPr>
          <w:rFonts w:ascii="Times New Roman" w:hAnsi="Times New Roman" w:cs="Times New Roman"/>
          <w:sz w:val="24"/>
          <w:szCs w:val="24"/>
        </w:rPr>
      </w:pPr>
      <w:r w:rsidRPr="00EF6C7E">
        <w:rPr>
          <w:rFonts w:ascii="Times New Roman" w:hAnsi="Times New Roman" w:cs="Times New Roman"/>
          <w:b/>
          <w:bCs/>
          <w:sz w:val="24"/>
          <w:szCs w:val="24"/>
        </w:rPr>
        <w:t>*Denotes statistical significance with p-value &lt; 0.05.</w:t>
      </w:r>
    </w:p>
    <w:p w14:paraId="25F77754" w14:textId="326337EC" w:rsidR="001179BF" w:rsidRDefault="001179BF" w:rsidP="004E6CF0">
      <w:pPr>
        <w:spacing w:line="480" w:lineRule="auto"/>
        <w:ind w:firstLine="720"/>
        <w:rPr>
          <w:rFonts w:ascii="Times New Roman" w:hAnsi="Times New Roman" w:cs="Times New Roman"/>
          <w:sz w:val="24"/>
          <w:szCs w:val="24"/>
        </w:rPr>
      </w:pPr>
      <w:r w:rsidRPr="001179BF">
        <w:rPr>
          <w:rFonts w:ascii="Times New Roman" w:hAnsi="Times New Roman" w:cs="Times New Roman"/>
          <w:sz w:val="24"/>
          <w:szCs w:val="24"/>
        </w:rPr>
        <w:t>COL12A1</w:t>
      </w:r>
      <w:r>
        <w:rPr>
          <w:rFonts w:ascii="Times New Roman" w:hAnsi="Times New Roman" w:cs="Times New Roman"/>
          <w:sz w:val="24"/>
          <w:szCs w:val="24"/>
        </w:rPr>
        <w:t xml:space="preserve"> does have overlap in the limits of confidence intervals.</w:t>
      </w:r>
      <w:r w:rsidR="000C2097">
        <w:rPr>
          <w:rFonts w:ascii="Times New Roman" w:hAnsi="Times New Roman" w:cs="Times New Roman"/>
          <w:sz w:val="24"/>
          <w:szCs w:val="24"/>
        </w:rPr>
        <w:t xml:space="preserve">  However, comparison of normal to duplication CNV in this gene there is no overlap of the confidence interval.</w:t>
      </w:r>
    </w:p>
    <w:p w14:paraId="14E07AC8" w14:textId="1CDA2377"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COL4A3BP shows a NA value meaning the confidence interval could not be calculated for this as the data for this stratification is sparse.  More data is needed for this and should be investigated more.</w:t>
      </w:r>
    </w:p>
    <w:p w14:paraId="075BB851" w14:textId="74AC1C30"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COL5A3 shows clear non-overlap in the limits of confidence intervals when comparing deletion </w:t>
      </w:r>
      <w:r w:rsidR="003844DD">
        <w:rPr>
          <w:rFonts w:ascii="Times New Roman" w:hAnsi="Times New Roman" w:cs="Times New Roman"/>
          <w:sz w:val="24"/>
          <w:szCs w:val="24"/>
        </w:rPr>
        <w:t>to</w:t>
      </w:r>
      <w:r>
        <w:rPr>
          <w:rFonts w:ascii="Times New Roman" w:hAnsi="Times New Roman" w:cs="Times New Roman"/>
          <w:sz w:val="24"/>
          <w:szCs w:val="24"/>
        </w:rPr>
        <w:t xml:space="preserve"> normal CNV</w:t>
      </w:r>
      <w:r w:rsidR="003844DD">
        <w:rPr>
          <w:rFonts w:ascii="Times New Roman" w:hAnsi="Times New Roman" w:cs="Times New Roman"/>
          <w:sz w:val="24"/>
          <w:szCs w:val="24"/>
        </w:rPr>
        <w:t xml:space="preserve"> and deletion to duplication CNV.</w:t>
      </w: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22451DAB" w14:textId="71134D86" w:rsidR="000C2097" w:rsidRPr="000C2097" w:rsidRDefault="00A369B7" w:rsidP="000C2097">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These </w:t>
      </w:r>
      <w:r w:rsidR="00C02A09">
        <w:rPr>
          <w:rFonts w:ascii="Times New Roman" w:hAnsi="Times New Roman" w:cs="Times New Roman"/>
          <w:sz w:val="24"/>
          <w:szCs w:val="24"/>
        </w:rPr>
        <w:t xml:space="preserve">results </w:t>
      </w:r>
      <w:r>
        <w:rPr>
          <w:rFonts w:ascii="Times New Roman" w:hAnsi="Times New Roman" w:cs="Times New Roman"/>
          <w:sz w:val="24"/>
          <w:szCs w:val="24"/>
        </w:rPr>
        <w:t xml:space="preserve">are </w:t>
      </w:r>
      <w:r w:rsidR="000C2097">
        <w:rPr>
          <w:rFonts w:ascii="Times New Roman" w:hAnsi="Times New Roman" w:cs="Times New Roman"/>
          <w:sz w:val="24"/>
          <w:szCs w:val="24"/>
        </w:rPr>
        <w:t>novel and</w:t>
      </w:r>
      <w:r>
        <w:rPr>
          <w:rFonts w:ascii="Times New Roman" w:hAnsi="Times New Roman" w:cs="Times New Roman"/>
          <w:sz w:val="24"/>
          <w:szCs w:val="24"/>
        </w:rPr>
        <w:t xml:space="preserve"> have</w:t>
      </w:r>
      <w:r w:rsidR="000C2097">
        <w:rPr>
          <w:rFonts w:ascii="Times New Roman" w:hAnsi="Times New Roman" w:cs="Times New Roman"/>
          <w:sz w:val="24"/>
          <w:szCs w:val="24"/>
        </w:rPr>
        <w:t xml:space="preserve"> not been previously</w:t>
      </w:r>
      <w:r>
        <w:rPr>
          <w:rFonts w:ascii="Times New Roman" w:hAnsi="Times New Roman" w:cs="Times New Roman"/>
          <w:sz w:val="24"/>
          <w:szCs w:val="24"/>
        </w:rPr>
        <w:t xml:space="preserve"> reported.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r w:rsidR="000C2097">
        <w:rPr>
          <w:rFonts w:ascii="Times New Roman" w:hAnsi="Times New Roman" w:cs="Times New Roman"/>
          <w:sz w:val="24"/>
          <w:szCs w:val="24"/>
        </w:rPr>
        <w:t xml:space="preserve">further </w:t>
      </w:r>
      <w:r>
        <w:rPr>
          <w:rFonts w:ascii="Times New Roman" w:hAnsi="Times New Roman" w:cs="Times New Roman"/>
          <w:sz w:val="24"/>
          <w:szCs w:val="24"/>
        </w:rPr>
        <w:t>investigated</w:t>
      </w:r>
      <w:r w:rsidR="000A0E55">
        <w:rPr>
          <w:rFonts w:ascii="Times New Roman" w:hAnsi="Times New Roman" w:cs="Times New Roman"/>
          <w:sz w:val="24"/>
          <w:szCs w:val="24"/>
        </w:rPr>
        <w:t xml:space="preserve"> based on </w:t>
      </w:r>
      <w:r w:rsidR="00B92617">
        <w:rPr>
          <w:rFonts w:ascii="Times New Roman" w:hAnsi="Times New Roman" w:cs="Times New Roman"/>
          <w:sz w:val="24"/>
          <w:szCs w:val="24"/>
        </w:rPr>
        <w:t xml:space="preserve">the </w:t>
      </w:r>
      <w:r w:rsidR="000A0E55">
        <w:rPr>
          <w:rFonts w:ascii="Times New Roman" w:hAnsi="Times New Roman" w:cs="Times New Roman"/>
          <w:sz w:val="24"/>
          <w:szCs w:val="24"/>
        </w:rPr>
        <w:t xml:space="preserve">possibility of false discovery previously mentioned </w:t>
      </w:r>
      <w:r w:rsidR="000C2097">
        <w:rPr>
          <w:rFonts w:ascii="Times New Roman" w:hAnsi="Times New Roman" w:cs="Times New Roman"/>
          <w:sz w:val="24"/>
          <w:szCs w:val="24"/>
        </w:rPr>
        <w:t xml:space="preserve">in other literature as </w:t>
      </w:r>
      <w:r w:rsidR="00B376CC">
        <w:rPr>
          <w:rFonts w:ascii="Times New Roman" w:hAnsi="Times New Roman" w:cs="Times New Roman"/>
          <w:sz w:val="24"/>
          <w:szCs w:val="24"/>
        </w:rPr>
        <w:t>this is a</w:t>
      </w:r>
      <w:r w:rsidR="000C2097">
        <w:rPr>
          <w:rFonts w:ascii="Times New Roman" w:hAnsi="Times New Roman" w:cs="Times New Roman"/>
          <w:sz w:val="24"/>
          <w:szCs w:val="24"/>
        </w:rPr>
        <w:t xml:space="preserve"> risk with </w:t>
      </w:r>
      <w:r w:rsidR="000A0E55">
        <w:rPr>
          <w:rFonts w:ascii="Times New Roman" w:hAnsi="Times New Roman" w:cs="Times New Roman"/>
          <w:sz w:val="24"/>
          <w:szCs w:val="24"/>
        </w:rPr>
        <w:t>genetic research (Efron,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easoning for t</w:t>
      </w:r>
      <w:r w:rsidRPr="000C2097">
        <w:rPr>
          <w:rFonts w:ascii="Times New Roman" w:hAnsi="Times New Roman" w:cs="Times New Roman"/>
          <w:sz w:val="24"/>
          <w:szCs w:val="24"/>
        </w:rPr>
        <w:t xml:space="preserve">his is having an alpha level set at 0.05.  There are </w:t>
      </w:r>
      <w:r w:rsidR="006A2F30" w:rsidRPr="000C2097">
        <w:rPr>
          <w:rFonts w:ascii="Times New Roman" w:hAnsi="Times New Roman" w:cs="Times New Roman"/>
          <w:sz w:val="24"/>
          <w:szCs w:val="24"/>
        </w:rPr>
        <w:t xml:space="preserve">an estimated </w:t>
      </w:r>
      <w:r w:rsidR="000C2097" w:rsidRPr="000C2097">
        <w:rPr>
          <w:rFonts w:ascii="Times New Roman" w:hAnsi="Times New Roman" w:cs="Times New Roman"/>
          <w:sz w:val="24"/>
          <w:szCs w:val="24"/>
        </w:rPr>
        <w:t>30</w:t>
      </w:r>
      <w:r w:rsidRPr="000C2097">
        <w:rPr>
          <w:rFonts w:ascii="Times New Roman" w:hAnsi="Times New Roman" w:cs="Times New Roman"/>
          <w:sz w:val="24"/>
          <w:szCs w:val="24"/>
        </w:rPr>
        <w:t>,000 genes in the human body</w:t>
      </w:r>
      <w:r w:rsidR="000C2097" w:rsidRPr="000C2097">
        <w:rPr>
          <w:rFonts w:ascii="Times New Roman" w:hAnsi="Times New Roman" w:cs="Times New Roman"/>
          <w:sz w:val="24"/>
          <w:szCs w:val="24"/>
        </w:rPr>
        <w:t xml:space="preserve"> </w:t>
      </w:r>
      <w:r w:rsidR="000C2097" w:rsidRPr="000C2097">
        <w:rPr>
          <w:rFonts w:ascii="Times New Roman" w:eastAsia="Times New Roman" w:hAnsi="Times New Roman" w:cs="Times New Roman"/>
          <w:color w:val="000000"/>
          <w:sz w:val="24"/>
          <w:szCs w:val="24"/>
        </w:rPr>
        <w:t>(Human Genome Project FAQ, 2013)</w:t>
      </w:r>
    </w:p>
    <w:p w14:paraId="18348325" w14:textId="40067EC9" w:rsidR="00646509" w:rsidRDefault="006A2F3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369B7">
        <w:rPr>
          <w:rFonts w:ascii="Times New Roman" w:hAnsi="Times New Roman" w:cs="Times New Roman"/>
          <w:sz w:val="24"/>
          <w:szCs w:val="24"/>
        </w:rPr>
        <w:t xml:space="preserve"> </w:t>
      </w:r>
      <w:r>
        <w:rPr>
          <w:rFonts w:ascii="Times New Roman" w:hAnsi="Times New Roman" w:cs="Times New Roman"/>
          <w:sz w:val="24"/>
          <w:szCs w:val="24"/>
        </w:rPr>
        <w:t>There</w:t>
      </w:r>
      <w:r w:rsidR="00A369B7">
        <w:rPr>
          <w:rFonts w:ascii="Times New Roman" w:hAnsi="Times New Roman" w:cs="Times New Roman"/>
          <w:sz w:val="24"/>
          <w:szCs w:val="24"/>
        </w:rPr>
        <w:t xml:space="preserve"> are 1,</w:t>
      </w:r>
      <w:r w:rsidR="000C2097">
        <w:rPr>
          <w:rFonts w:ascii="Times New Roman" w:hAnsi="Times New Roman" w:cs="Times New Roman"/>
          <w:sz w:val="24"/>
          <w:szCs w:val="24"/>
        </w:rPr>
        <w:t>5</w:t>
      </w:r>
      <w:r w:rsidR="00A369B7">
        <w:rPr>
          <w:rFonts w:ascii="Times New Roman" w:hAnsi="Times New Roman" w:cs="Times New Roman"/>
          <w:sz w:val="24"/>
          <w:szCs w:val="24"/>
        </w:rPr>
        <w:t>00 genes that could potentially have a finding that is random or not truly exist</w:t>
      </w:r>
      <w:r>
        <w:rPr>
          <w:rFonts w:ascii="Times New Roman" w:hAnsi="Times New Roman" w:cs="Times New Roman"/>
          <w:sz w:val="24"/>
          <w:szCs w:val="24"/>
        </w:rPr>
        <w:t xml:space="preserve"> with an alpha set at 0.05</w:t>
      </w:r>
      <w:r w:rsidR="00A369B7">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controls for false discovery and </w:t>
      </w:r>
      <w:r w:rsidR="004475D4">
        <w:rPr>
          <w:rFonts w:ascii="Times New Roman" w:hAnsi="Times New Roman" w:cs="Times New Roman"/>
          <w:sz w:val="24"/>
          <w:szCs w:val="24"/>
        </w:rPr>
        <w:t>are generally</w:t>
      </w:r>
      <w:r w:rsidR="00A62A0E">
        <w:rPr>
          <w:rFonts w:ascii="Times New Roman" w:hAnsi="Times New Roman" w:cs="Times New Roman"/>
          <w:sz w:val="24"/>
          <w:szCs w:val="24"/>
        </w:rPr>
        <w:t xml:space="preserve"> due to lack of quality and quantity of data (Dahiru, 2011).</w:t>
      </w:r>
    </w:p>
    <w:p w14:paraId="58310FBB" w14:textId="0F057ACC" w:rsidR="00673F74" w:rsidRDefault="00673F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limitation to this study is quality and quantity of data.  </w:t>
      </w:r>
      <w:r w:rsidR="00A90BE9">
        <w:rPr>
          <w:rFonts w:ascii="Times New Roman" w:hAnsi="Times New Roman" w:cs="Times New Roman"/>
          <w:sz w:val="24"/>
          <w:szCs w:val="24"/>
        </w:rPr>
        <w:t>Obtaining</w:t>
      </w:r>
      <w:r>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211DE1">
        <w:rPr>
          <w:rFonts w:ascii="Times New Roman" w:hAnsi="Times New Roman" w:cs="Times New Roman"/>
          <w:color w:val="FF0000"/>
          <w:sz w:val="24"/>
          <w:szCs w:val="24"/>
        </w:rPr>
        <w:t xml:space="preserve"> </w:t>
      </w:r>
      <w:r w:rsidR="00211DE1" w:rsidRPr="00211DE1">
        <w:rPr>
          <w:rFonts w:ascii="Times New Roman" w:hAnsi="Times New Roman" w:cs="Times New Roman"/>
          <w:sz w:val="24"/>
          <w:szCs w:val="24"/>
        </w:rPr>
        <w:t xml:space="preserve">(“The Future of Cancer Genomics”, 2015).  </w:t>
      </w:r>
      <w:r w:rsidR="000329B2">
        <w:rPr>
          <w:rFonts w:ascii="Times New Roman" w:hAnsi="Times New Roman" w:cs="Times New Roman"/>
          <w:sz w:val="24"/>
          <w:szCs w:val="24"/>
        </w:rPr>
        <w:t>Although g</w:t>
      </w:r>
      <w:r w:rsidR="00207662">
        <w:rPr>
          <w:rFonts w:ascii="Times New Roman" w:hAnsi="Times New Roman" w:cs="Times New Roman"/>
          <w:sz w:val="24"/>
          <w:szCs w:val="24"/>
        </w:rPr>
        <w:t>ene sequencing is becoming cheaper and more accurate</w:t>
      </w:r>
      <w:r w:rsidR="000329B2">
        <w:rPr>
          <w:rFonts w:ascii="Times New Roman" w:hAnsi="Times New Roman" w:cs="Times New Roman"/>
          <w:sz w:val="24"/>
          <w:szCs w:val="24"/>
        </w:rPr>
        <w:t xml:space="preserve">, </w:t>
      </w:r>
      <w:r>
        <w:rPr>
          <w:rFonts w:ascii="Times New Roman" w:hAnsi="Times New Roman" w:cs="Times New Roman"/>
          <w:sz w:val="24"/>
          <w:szCs w:val="24"/>
        </w:rPr>
        <w:t xml:space="preserve">a strong argument can be made for keeping alpha at 0.05 </w:t>
      </w:r>
      <w:r w:rsidR="00743169">
        <w:rPr>
          <w:rFonts w:ascii="Times New Roman" w:hAnsi="Times New Roman" w:cs="Times New Roman"/>
          <w:sz w:val="24"/>
          <w:szCs w:val="24"/>
        </w:rPr>
        <w:t xml:space="preserve">with confidence intervals </w:t>
      </w:r>
      <w:r>
        <w:rPr>
          <w:rFonts w:ascii="Times New Roman" w:hAnsi="Times New Roman" w:cs="Times New Roman"/>
          <w:sz w:val="24"/>
          <w:szCs w:val="24"/>
        </w:rPr>
        <w:t xml:space="preserve">and not </w:t>
      </w:r>
      <w:r w:rsidR="00D71307">
        <w:rPr>
          <w:rFonts w:ascii="Times New Roman" w:hAnsi="Times New Roman" w:cs="Times New Roman"/>
          <w:sz w:val="24"/>
          <w:szCs w:val="24"/>
        </w:rPr>
        <w:t>controlling for false discovery</w:t>
      </w:r>
      <w:r w:rsidR="000329B2">
        <w:rPr>
          <w:rFonts w:ascii="Times New Roman" w:hAnsi="Times New Roman" w:cs="Times New Roman"/>
          <w:sz w:val="24"/>
          <w:szCs w:val="24"/>
        </w:rPr>
        <w:t xml:space="preserve"> </w:t>
      </w:r>
      <w:r w:rsidR="000329B2">
        <w:rPr>
          <w:rFonts w:ascii="Times New Roman" w:hAnsi="Times New Roman" w:cs="Times New Roman"/>
          <w:sz w:val="24"/>
          <w:szCs w:val="24"/>
        </w:rPr>
        <w:t>(Ulrich, 2016).</w:t>
      </w:r>
      <w:r>
        <w:rPr>
          <w:rFonts w:ascii="Times New Roman" w:hAnsi="Times New Roman" w:cs="Times New Roman"/>
          <w:sz w:val="24"/>
          <w:szCs w:val="24"/>
        </w:rPr>
        <w:t xml:space="preserve">  While objectivity is a strong goal to maintain in any study and can be difficult to achieve, finding appropriate data in genetics is just as difficult.</w:t>
      </w:r>
    </w:p>
    <w:p w14:paraId="3414B415" w14:textId="42701AC3"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argument for not controlling for false discovery are the</w:t>
      </w:r>
      <w:r w:rsidR="00673F74">
        <w:rPr>
          <w:rFonts w:ascii="Times New Roman" w:hAnsi="Times New Roman" w:cs="Times New Roman"/>
          <w:sz w:val="24"/>
          <w:szCs w:val="24"/>
        </w:rPr>
        <w:t xml:space="preserve"> underlying mechanisms showing collagen has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p>
    <w:p w14:paraId="2229AF45" w14:textId="4DBD4D76"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p>
    <w:p w14:paraId="73860D92" w14:textId="4B3D00B9" w:rsidR="005A0F14" w:rsidRDefault="005A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w:t>
      </w:r>
      <w:r w:rsidR="005B001B">
        <w:rPr>
          <w:rFonts w:ascii="Times New Roman" w:hAnsi="Times New Roman" w:cs="Times New Roman"/>
          <w:sz w:val="24"/>
          <w:szCs w:val="24"/>
        </w:rPr>
        <w:t>evolutionary</w:t>
      </w:r>
      <w:r>
        <w:rPr>
          <w:rFonts w:ascii="Times New Roman" w:hAnsi="Times New Roman" w:cs="Times New Roman"/>
          <w:sz w:val="24"/>
          <w:szCs w:val="24"/>
        </w:rPr>
        <w:t xml:space="preserve"> artifacts in the TCGA germline</w:t>
      </w:r>
      <w:r w:rsidR="004C162B">
        <w:rPr>
          <w:rFonts w:ascii="Times New Roman" w:hAnsi="Times New Roman" w:cs="Times New Roman"/>
          <w:sz w:val="24"/>
          <w:szCs w:val="24"/>
        </w:rPr>
        <w:t xml:space="preserve"> based on natural selection</w:t>
      </w:r>
      <w:r>
        <w:rPr>
          <w:rFonts w:ascii="Times New Roman" w:hAnsi="Times New Roman" w:cs="Times New Roman"/>
          <w:sz w:val="24"/>
          <w:szCs w:val="24"/>
        </w:rPr>
        <w:t xml:space="preserve">, future </w:t>
      </w:r>
      <w:r w:rsidR="00CB4D38">
        <w:rPr>
          <w:rFonts w:ascii="Times New Roman" w:hAnsi="Times New Roman" w:cs="Times New Roman"/>
          <w:sz w:val="24"/>
          <w:szCs w:val="24"/>
        </w:rPr>
        <w:t xml:space="preserve">CNV </w:t>
      </w:r>
      <w:r>
        <w:rPr>
          <w:rFonts w:ascii="Times New Roman" w:hAnsi="Times New Roman" w:cs="Times New Roman"/>
          <w:sz w:val="24"/>
          <w:szCs w:val="24"/>
        </w:rPr>
        <w:t xml:space="preserve">research should </w:t>
      </w:r>
      <w:r w:rsidR="008C25A6">
        <w:rPr>
          <w:rFonts w:ascii="Times New Roman" w:hAnsi="Times New Roman" w:cs="Times New Roman"/>
          <w:sz w:val="24"/>
          <w:szCs w:val="24"/>
        </w:rPr>
        <w:t>possibly</w:t>
      </w:r>
      <w:r>
        <w:rPr>
          <w:rFonts w:ascii="Times New Roman" w:hAnsi="Times New Roman" w:cs="Times New Roman"/>
          <w:sz w:val="24"/>
          <w:szCs w:val="24"/>
        </w:rPr>
        <w:t xml:space="preserve"> be </w:t>
      </w:r>
      <w:r w:rsidR="008C25A6">
        <w:rPr>
          <w:rFonts w:ascii="Times New Roman" w:hAnsi="Times New Roman" w:cs="Times New Roman"/>
          <w:sz w:val="24"/>
          <w:szCs w:val="24"/>
        </w:rPr>
        <w:t>performed</w:t>
      </w:r>
      <w:r>
        <w:rPr>
          <w:rFonts w:ascii="Times New Roman" w:hAnsi="Times New Roman" w:cs="Times New Roman"/>
          <w:sz w:val="24"/>
          <w:szCs w:val="24"/>
        </w:rPr>
        <w:t xml:space="preserve"> on a new cancer </w:t>
      </w:r>
      <w:r w:rsidR="007A5607">
        <w:rPr>
          <w:rFonts w:ascii="Times New Roman" w:hAnsi="Times New Roman" w:cs="Times New Roman"/>
          <w:sz w:val="24"/>
          <w:szCs w:val="24"/>
        </w:rPr>
        <w:t>repository</w:t>
      </w:r>
      <w:r>
        <w:rPr>
          <w:rFonts w:ascii="Times New Roman" w:hAnsi="Times New Roman" w:cs="Times New Roman"/>
          <w:sz w:val="24"/>
          <w:szCs w:val="24"/>
        </w:rPr>
        <w:t xml:space="preserve">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4C162B">
        <w:rPr>
          <w:rFonts w:ascii="Times New Roman" w:hAnsi="Times New Roman" w:cs="Times New Roman"/>
          <w:sz w:val="24"/>
          <w:szCs w:val="24"/>
        </w:rPr>
        <w:t xml:space="preserve">The methods for CNV detection with high-throughput sequencing contributes to false discovery rates </w:t>
      </w:r>
      <w:r w:rsidR="00344602">
        <w:rPr>
          <w:rFonts w:ascii="Times New Roman" w:hAnsi="Times New Roman" w:cs="Times New Roman"/>
          <w:sz w:val="24"/>
          <w:szCs w:val="24"/>
        </w:rPr>
        <w:t>(Jiang et al., 2018).</w:t>
      </w:r>
      <w:r w:rsidR="004C162B" w:rsidRPr="00344602">
        <w:rPr>
          <w:rFonts w:ascii="Times New Roman" w:hAnsi="Times New Roman" w:cs="Times New Roman"/>
          <w:sz w:val="24"/>
          <w:szCs w:val="24"/>
        </w:rPr>
        <w:t xml:space="preserve">  </w:t>
      </w:r>
      <w:r>
        <w:rPr>
          <w:rFonts w:ascii="Times New Roman" w:hAnsi="Times New Roman" w:cs="Times New Roman"/>
          <w:sz w:val="24"/>
          <w:szCs w:val="24"/>
        </w:rPr>
        <w:t xml:space="preserve">An increase in observations would be appropriate as well.  It </w:t>
      </w:r>
      <w:r>
        <w:rPr>
          <w:rFonts w:ascii="Times New Roman" w:hAnsi="Times New Roman" w:cs="Times New Roman"/>
          <w:sz w:val="24"/>
          <w:szCs w:val="24"/>
        </w:rPr>
        <w:lastRenderedPageBreak/>
        <w:t xml:space="preserve">is also possible that a combination of TCGA </w:t>
      </w:r>
      <w:r w:rsidR="00C80391">
        <w:rPr>
          <w:rFonts w:ascii="Times New Roman" w:hAnsi="Times New Roman" w:cs="Times New Roman"/>
          <w:sz w:val="24"/>
          <w:szCs w:val="24"/>
        </w:rPr>
        <w:t>repository</w:t>
      </w:r>
      <w:r>
        <w:rPr>
          <w:rFonts w:ascii="Times New Roman" w:hAnsi="Times New Roman" w:cs="Times New Roman"/>
          <w:sz w:val="24"/>
          <w:szCs w:val="24"/>
        </w:rPr>
        <w:t xml:space="preserve"> and future cancer databases could be </w:t>
      </w:r>
      <w:r w:rsidR="008C25A6">
        <w:rPr>
          <w:rFonts w:ascii="Times New Roman" w:hAnsi="Times New Roman" w:cs="Times New Roman"/>
          <w:sz w:val="24"/>
          <w:szCs w:val="24"/>
        </w:rPr>
        <w:t>utilized</w:t>
      </w:r>
      <w:r w:rsidR="00972656">
        <w:rPr>
          <w:rFonts w:ascii="Times New Roman" w:hAnsi="Times New Roman" w:cs="Times New Roman"/>
          <w:sz w:val="24"/>
          <w:szCs w:val="24"/>
        </w:rPr>
        <w:t xml:space="preserve"> and combined</w:t>
      </w:r>
      <w:r w:rsidR="008C25A6">
        <w:rPr>
          <w:rFonts w:ascii="Times New Roman" w:hAnsi="Times New Roman" w:cs="Times New Roman"/>
          <w:sz w:val="24"/>
          <w:szCs w:val="24"/>
        </w:rPr>
        <w:t xml:space="preserve"> </w:t>
      </w:r>
      <w:r>
        <w:rPr>
          <w:rFonts w:ascii="Times New Roman" w:hAnsi="Times New Roman" w:cs="Times New Roman"/>
          <w:sz w:val="24"/>
          <w:szCs w:val="24"/>
        </w:rPr>
        <w:t>to increase observation numbers, but caution should be used as previously stated.</w:t>
      </w:r>
      <w:r w:rsidR="00472977">
        <w:rPr>
          <w:rFonts w:ascii="Times New Roman" w:hAnsi="Times New Roman" w:cs="Times New Roman"/>
          <w:sz w:val="24"/>
          <w:szCs w:val="24"/>
        </w:rPr>
        <w:t xml:space="preserve">  </w:t>
      </w:r>
      <w:r w:rsidR="004C162B">
        <w:rPr>
          <w:rFonts w:ascii="Times New Roman" w:hAnsi="Times New Roman" w:cs="Times New Roman"/>
          <w:sz w:val="24"/>
          <w:szCs w:val="24"/>
        </w:rPr>
        <w:t>It is possible that this future research structure may not be feasible with technology advancing in genomics at a fast rate</w:t>
      </w:r>
      <w:r w:rsidR="00812136">
        <w:rPr>
          <w:rFonts w:ascii="Times New Roman" w:hAnsi="Times New Roman" w:cs="Times New Roman"/>
          <w:sz w:val="24"/>
          <w:szCs w:val="24"/>
        </w:rPr>
        <w:t xml:space="preserve"> as sequencing methods do evolve</w:t>
      </w:r>
      <w:r w:rsidR="004C162B">
        <w:rPr>
          <w:rFonts w:ascii="Times New Roman" w:hAnsi="Times New Roman" w:cs="Times New Roman"/>
          <w:sz w:val="24"/>
          <w:szCs w:val="24"/>
        </w:rPr>
        <w:t xml:space="preserve">.  </w:t>
      </w:r>
      <w:r w:rsidR="00472977">
        <w:rPr>
          <w:rFonts w:ascii="Times New Roman" w:hAnsi="Times New Roman" w:cs="Times New Roman"/>
          <w:sz w:val="24"/>
          <w:szCs w:val="24"/>
        </w:rPr>
        <w:t xml:space="preserve">However, TCGA is such a huge longitudinal </w:t>
      </w:r>
      <w:r w:rsidR="00972656">
        <w:rPr>
          <w:rFonts w:ascii="Times New Roman" w:hAnsi="Times New Roman" w:cs="Times New Roman"/>
          <w:sz w:val="24"/>
          <w:szCs w:val="24"/>
        </w:rPr>
        <w:t>archive</w:t>
      </w:r>
      <w:r w:rsidR="00472977">
        <w:rPr>
          <w:rFonts w:ascii="Times New Roman" w:hAnsi="Times New Roman" w:cs="Times New Roman"/>
          <w:sz w:val="24"/>
          <w:szCs w:val="24"/>
        </w:rPr>
        <w:t xml:space="preserve"> of genetic information, more CNV </w:t>
      </w:r>
      <w:r w:rsidR="009A714D">
        <w:rPr>
          <w:rFonts w:ascii="Times New Roman" w:hAnsi="Times New Roman" w:cs="Times New Roman"/>
          <w:sz w:val="24"/>
          <w:szCs w:val="24"/>
        </w:rPr>
        <w:t xml:space="preserve">survival analysis </w:t>
      </w:r>
      <w:r w:rsidR="00472977">
        <w:rPr>
          <w:rFonts w:ascii="Times New Roman" w:hAnsi="Times New Roman" w:cs="Times New Roman"/>
          <w:sz w:val="24"/>
          <w:szCs w:val="24"/>
        </w:rPr>
        <w:t xml:space="preserve">studies </w:t>
      </w:r>
      <w:r w:rsidR="008C25A6">
        <w:rPr>
          <w:rFonts w:ascii="Times New Roman" w:hAnsi="Times New Roman" w:cs="Times New Roman"/>
          <w:sz w:val="24"/>
          <w:szCs w:val="24"/>
        </w:rPr>
        <w:t>sh</w:t>
      </w:r>
      <w:r w:rsidR="00472977">
        <w:rPr>
          <w:rFonts w:ascii="Times New Roman" w:hAnsi="Times New Roman" w:cs="Times New Roman"/>
          <w:sz w:val="24"/>
          <w:szCs w:val="24"/>
        </w:rPr>
        <w:t xml:space="preserve">ould be performed on other cancers </w:t>
      </w:r>
      <w:r w:rsidR="008C25A6">
        <w:rPr>
          <w:rFonts w:ascii="Times New Roman" w:hAnsi="Times New Roman" w:cs="Times New Roman"/>
          <w:sz w:val="24"/>
          <w:szCs w:val="24"/>
        </w:rPr>
        <w:t>to help create a baseline knowledge of CNV</w:t>
      </w:r>
      <w:r w:rsidR="00D55EAD">
        <w:rPr>
          <w:rFonts w:ascii="Times New Roman" w:hAnsi="Times New Roman" w:cs="Times New Roman"/>
          <w:sz w:val="24"/>
          <w:szCs w:val="24"/>
        </w:rPr>
        <w:t xml:space="preserve"> and </w:t>
      </w:r>
      <w:r w:rsidR="00810084">
        <w:rPr>
          <w:rFonts w:ascii="Times New Roman" w:hAnsi="Times New Roman" w:cs="Times New Roman"/>
          <w:sz w:val="24"/>
          <w:szCs w:val="24"/>
        </w:rPr>
        <w:t>collagen</w:t>
      </w:r>
      <w:r w:rsidR="008C25A6">
        <w:rPr>
          <w:rFonts w:ascii="Times New Roman" w:hAnsi="Times New Roman" w:cs="Times New Roman"/>
          <w:sz w:val="24"/>
          <w:szCs w:val="24"/>
        </w:rPr>
        <w:t xml:space="preserve"> effects on neoplasms.</w:t>
      </w:r>
    </w:p>
    <w:p w14:paraId="0CEB68B0" w14:textId="7633AC91" w:rsidR="005A0F14" w:rsidRPr="005A0F14"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r w:rsidR="006717C3">
        <w:rPr>
          <w:rFonts w:ascii="Times New Roman" w:hAnsi="Times New Roman" w:cs="Times New Roman"/>
          <w:sz w:val="24"/>
          <w:szCs w:val="24"/>
        </w:rPr>
        <w:t>can be considered</w:t>
      </w:r>
      <w:r>
        <w:rPr>
          <w:rFonts w:ascii="Times New Roman" w:hAnsi="Times New Roman" w:cs="Times New Roman"/>
          <w:sz w:val="24"/>
          <w:szCs w:val="24"/>
        </w:rPr>
        <w:t xml:space="preserve"> </w:t>
      </w:r>
      <w:r w:rsidR="005349C4">
        <w:rPr>
          <w:rFonts w:ascii="Times New Roman" w:hAnsi="Times New Roman" w:cs="Times New Roman"/>
          <w:sz w:val="24"/>
          <w:szCs w:val="24"/>
        </w:rPr>
        <w:t>foundation</w:t>
      </w:r>
      <w:r w:rsidR="006717C3">
        <w:rPr>
          <w:rFonts w:ascii="Times New Roman" w:hAnsi="Times New Roman" w:cs="Times New Roman"/>
          <w:sz w:val="24"/>
          <w:szCs w:val="24"/>
        </w:rPr>
        <w:t>al</w:t>
      </w:r>
      <w:r>
        <w:rPr>
          <w:rFonts w:ascii="Times New Roman" w:hAnsi="Times New Roman" w:cs="Times New Roman"/>
          <w:sz w:val="24"/>
          <w:szCs w:val="24"/>
        </w:rPr>
        <w:t xml:space="preserve"> to personalized cancer treatments</w:t>
      </w:r>
      <w:r w:rsidR="006717C3">
        <w:rPr>
          <w:rFonts w:ascii="Times New Roman" w:hAnsi="Times New Roman" w:cs="Times New Roman"/>
          <w:sz w:val="24"/>
          <w:szCs w:val="24"/>
        </w:rPr>
        <w:t xml:space="preserve"> and target therapy</w:t>
      </w:r>
      <w:r>
        <w:rPr>
          <w:rFonts w:ascii="Times New Roman" w:hAnsi="Times New Roman" w:cs="Times New Roman"/>
          <w:sz w:val="24"/>
          <w:szCs w:val="24"/>
        </w:rPr>
        <w:t xml:space="preserve">.  However, most antineoplastic molecules are of a narrow therapeutic index and 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BB4217">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sidR="00BB4217">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 </w:t>
      </w:r>
      <w:r w:rsidR="00C60BC0">
        <w:rPr>
          <w:rFonts w:ascii="Times New Roman" w:eastAsia="Times New Roman" w:hAnsi="Times New Roman" w:cs="Times New Roman"/>
          <w:color w:val="000000"/>
          <w:sz w:val="24"/>
          <w:szCs w:val="24"/>
        </w:rPr>
        <w:t xml:space="preserve">one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  This </w:t>
      </w:r>
      <w:r w:rsidR="00C60BC0">
        <w:rPr>
          <w:rFonts w:ascii="Times New Roman" w:eastAsia="Times New Roman" w:hAnsi="Times New Roman" w:cs="Times New Roman"/>
          <w:color w:val="000000"/>
          <w:sz w:val="24"/>
          <w:szCs w:val="24"/>
        </w:rPr>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193BA213"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Work Cited/ References</w:t>
      </w:r>
    </w:p>
    <w:p w14:paraId="588327CC" w14:textId="6F5F42BE" w:rsidR="0082021C" w:rsidRPr="00886C0A" w:rsidRDefault="0082021C" w:rsidP="00FE2AF3">
      <w:pPr>
        <w:spacing w:line="240" w:lineRule="auto"/>
        <w:rPr>
          <w:rFonts w:ascii="Times New Roman" w:hAnsi="Times New Roman" w:cs="Times New Roman"/>
          <w:b/>
          <w:sz w:val="24"/>
          <w:szCs w:val="24"/>
        </w:rPr>
      </w:pPr>
    </w:p>
    <w:p w14:paraId="2C8D0D52" w14:textId="77777777" w:rsidR="0060175D" w:rsidRPr="00886C0A" w:rsidRDefault="0060175D" w:rsidP="0060175D">
      <w:pPr>
        <w:shd w:val="clear" w:color="auto" w:fill="FFFFFF"/>
        <w:spacing w:after="0" w:line="48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Broad GDAC Firehose</w:t>
      </w:r>
      <w:r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Bhutani, K., Ideker, T., Lasken, R. S., Carter, H., Harismendy, O., &amp; Schork,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8"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72BDA5C8"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w:t>
      </w:r>
      <w:r w:rsidR="00591481">
        <w:rPr>
          <w:rFonts w:ascii="Times New Roman" w:eastAsia="Times New Roman" w:hAnsi="Times New Roman" w:cs="Times New Roman"/>
          <w:color w:val="000000"/>
          <w:sz w:val="24"/>
          <w:szCs w:val="24"/>
        </w:rPr>
        <w:t xml:space="preserve">Survival Rates of Ovarian cancer. </w:t>
      </w:r>
      <w:r w:rsidR="00FE2AF3" w:rsidRPr="00591481">
        <w:rPr>
          <w:rFonts w:ascii="Times New Roman" w:eastAsia="Times New Roman" w:hAnsi="Times New Roman" w:cs="Times New Roman"/>
          <w:i/>
          <w:iCs/>
          <w:color w:val="000000"/>
          <w:sz w:val="24"/>
          <w:szCs w:val="24"/>
        </w:rPr>
        <w:t xml:space="preserve">American Cancer Society. </w:t>
      </w:r>
      <w:hyperlink r:id="rId9"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70C7A6F3" w14:textId="784B7107" w:rsidR="00170BA5" w:rsidRDefault="00646509" w:rsidP="00646509">
      <w:pPr>
        <w:pStyle w:val="NormalWeb"/>
        <w:spacing w:before="0" w:beforeAutospacing="0" w:after="0" w:afterAutospacing="0"/>
        <w:ind w:left="720" w:hanging="720"/>
        <w:rPr>
          <w:rStyle w:val="Hyperlink"/>
        </w:rPr>
      </w:pPr>
      <w:r w:rsidRPr="00886C0A">
        <w:t xml:space="preserve">Cheon, D.-J., Tong, Y., Sim, M.-S., Dering, J., Berel, D., Cui, X., Lester, J., Beach, J. A., Tighiouart, M., Walts, A. E., Karlan, B. Y., &amp; Orsulic,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10" w:history="1">
        <w:r w:rsidRPr="00886C0A">
          <w:rPr>
            <w:rStyle w:val="Hyperlink"/>
          </w:rPr>
          <w:t>https://doi.org/10.1158/1078-0432.ccr-13-1256</w:t>
        </w:r>
      </w:hyperlink>
    </w:p>
    <w:p w14:paraId="013BFF13" w14:textId="77777777" w:rsidR="00170BA5" w:rsidRDefault="00170BA5" w:rsidP="00646509">
      <w:pPr>
        <w:pStyle w:val="NormalWeb"/>
        <w:spacing w:before="0" w:beforeAutospacing="0" w:after="0" w:afterAutospacing="0"/>
        <w:ind w:left="720" w:hanging="720"/>
        <w:rPr>
          <w:rStyle w:val="Hyperlink"/>
        </w:rPr>
      </w:pPr>
    </w:p>
    <w:p w14:paraId="437AC12F" w14:textId="0D4029C1" w:rsidR="00646509" w:rsidRPr="00886C0A" w:rsidRDefault="00170BA5" w:rsidP="00170BA5">
      <w:pPr>
        <w:shd w:val="clear" w:color="auto" w:fill="FFFFFF"/>
        <w:spacing w:after="0" w:line="240" w:lineRule="auto"/>
        <w:rPr>
          <w:rStyle w:val="Hyperlink"/>
        </w:rPr>
      </w:pPr>
      <w:r w:rsidRPr="00170BA5">
        <w:rPr>
          <w:rFonts w:ascii="Times New Roman" w:eastAsia="Times New Roman" w:hAnsi="Times New Roman" w:cs="Times New Roman"/>
          <w:color w:val="000000"/>
          <w:sz w:val="24"/>
          <w:szCs w:val="24"/>
        </w:rPr>
        <w:t>Cho, A., Howell, V. M., &amp; Colvin, E. K. (2015). The Extracellular Matrix in Epithelial Ovarian</w:t>
      </w:r>
      <w:r w:rsidRPr="00170BA5">
        <w:rPr>
          <w:rFonts w:ascii="Times New Roman" w:eastAsia="Times New Roman" w:hAnsi="Times New Roman" w:cs="Times New Roman"/>
          <w:color w:val="000000"/>
          <w:sz w:val="24"/>
          <w:szCs w:val="24"/>
        </w:rPr>
        <w:tab/>
        <w:t>Cancer – A Piece of a Puzzle. Frontiers in Oncology, 5.</w:t>
      </w:r>
      <w:r w:rsidRPr="00170BA5">
        <w:rPr>
          <w:rFonts w:ascii="Times New Roman" w:eastAsia="Times New Roman" w:hAnsi="Times New Roman" w:cs="Times New Roman"/>
          <w:color w:val="000000"/>
          <w:sz w:val="24"/>
          <w:szCs w:val="24"/>
        </w:rPr>
        <w:tab/>
        <w:t>https://doi.org/10.3389/fonc.2015.00245</w:t>
      </w:r>
      <w:r w:rsidR="006F1B9E" w:rsidRPr="00886C0A">
        <w:rPr>
          <w:rStyle w:val="Hyperlink"/>
        </w:rPr>
        <w:br/>
      </w:r>
    </w:p>
    <w:p w14:paraId="43729BC7" w14:textId="1AF69017" w:rsidR="00646509" w:rsidRPr="00886C0A" w:rsidRDefault="006F1B9E" w:rsidP="006F1B9E">
      <w:pPr>
        <w:shd w:val="clear" w:color="auto" w:fill="FFFFFF"/>
        <w:spacing w:after="0" w:line="240" w:lineRule="auto"/>
        <w:ind w:left="720" w:hanging="720"/>
        <w:rPr>
          <w:rFonts w:ascii="Times New Roman" w:hAnsi="Times New Roman" w:cs="Times New Roman"/>
          <w:sz w:val="24"/>
          <w:szCs w:val="24"/>
        </w:rPr>
      </w:pPr>
      <w:r w:rsidRPr="00886C0A">
        <w:rPr>
          <w:rFonts w:ascii="Times New Roman" w:eastAsia="Times New Roman" w:hAnsi="Times New Roman" w:cs="Times New Roman"/>
          <w:color w:val="000000"/>
          <w:sz w:val="24"/>
          <w:szCs w:val="24"/>
        </w:rPr>
        <w:t xml:space="preserve">Dahiru,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11" w:history="1">
        <w:r w:rsidRPr="00886C0A">
          <w:rPr>
            <w:rStyle w:val="Hyperlink"/>
            <w:rFonts w:ascii="Times New Roman" w:eastAsia="Times New Roman" w:hAnsi="Times New Roman" w:cs="Times New Roman"/>
            <w:sz w:val="24"/>
            <w:szCs w:val="24"/>
          </w:rPr>
          <w:t>https://doi.org/10.4314/aipm.v6i1.64038</w:t>
        </w:r>
      </w:hyperlink>
      <w:r w:rsidRPr="00886C0A">
        <w:rPr>
          <w:rFonts w:ascii="Times New Roman" w:eastAsia="Times New Roman" w:hAnsi="Times New Roman" w:cs="Times New Roman"/>
          <w:color w:val="000000"/>
          <w:sz w:val="24"/>
          <w:szCs w:val="24"/>
        </w:rPr>
        <w:b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Hennequet-Antier, C., Jeanmougin, M., Servant, N., Keime, C., Marot, G., Castel, D., Estelle, J., Guernec, G., Jagla, B., Jouneau, L., Laloe, D., Le Gall, C., Schaeffer, B., Le Crom, S., Guedj, M., &amp; Jaffrezic,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12" w:history="1">
        <w:r w:rsidRPr="00886C0A">
          <w:rPr>
            <w:rStyle w:val="Hyperlink"/>
          </w:rPr>
          <w:t>https://doi.org/10.1093/bib/bbs046</w:t>
        </w:r>
      </w:hyperlink>
    </w:p>
    <w:p w14:paraId="69A635D8" w14:textId="1A7F1F3B" w:rsidR="00C37A89" w:rsidRDefault="00C37A89" w:rsidP="00646509">
      <w:pPr>
        <w:pStyle w:val="NormalWeb"/>
        <w:spacing w:before="0" w:beforeAutospacing="0" w:after="0" w:afterAutospacing="0"/>
        <w:ind w:left="720" w:hanging="720"/>
        <w:rPr>
          <w:rStyle w:val="Hyperlink"/>
        </w:rPr>
      </w:pPr>
    </w:p>
    <w:p w14:paraId="19DDE61D" w14:textId="206ED487" w:rsidR="00037C80" w:rsidRDefault="00037C80" w:rsidP="00037C80">
      <w:pPr>
        <w:shd w:val="clear" w:color="auto" w:fill="FFFFFF"/>
        <w:spacing w:after="0" w:line="240" w:lineRule="auto"/>
        <w:rPr>
          <w:rStyle w:val="Hyperlink"/>
        </w:rPr>
      </w:pPr>
      <w:r w:rsidRPr="00037C80">
        <w:rPr>
          <w:rFonts w:ascii="Times New Roman" w:eastAsia="Times New Roman" w:hAnsi="Times New Roman" w:cs="Times New Roman"/>
          <w:color w:val="000000"/>
          <w:sz w:val="24"/>
          <w:szCs w:val="24"/>
        </w:rPr>
        <w:t>Dipiro, J. T., Talbert, R., Yee, G., Matzke, G., Wells, B., &amp; Posey, L. M. (2017).</w:t>
      </w:r>
      <w:r>
        <w:rPr>
          <w:rFonts w:ascii="Times New Roman" w:eastAsia="Times New Roman" w:hAnsi="Times New Roman" w:cs="Times New Roman"/>
          <w:color w:val="000000"/>
          <w:sz w:val="24"/>
          <w:szCs w:val="24"/>
        </w:rPr>
        <w:tab/>
      </w:r>
      <w:r w:rsidRPr="00037C80">
        <w:rPr>
          <w:rFonts w:ascii="Times New Roman" w:eastAsia="Times New Roman" w:hAnsi="Times New Roman" w:cs="Times New Roman"/>
          <w:color w:val="000000"/>
          <w:sz w:val="24"/>
          <w:szCs w:val="24"/>
        </w:rPr>
        <w:t>Pharmacotherapy-- a pathophysiologic approach (10th ed., p. 917). Mcgraw-Hill</w:t>
      </w:r>
      <w:r w:rsidRPr="00037C80">
        <w:rPr>
          <w:rFonts w:ascii="Times New Roman" w:eastAsia="Times New Roman" w:hAnsi="Times New Roman" w:cs="Times New Roman"/>
          <w:color w:val="000000"/>
          <w:sz w:val="24"/>
          <w:szCs w:val="24"/>
        </w:rPr>
        <w:tab/>
        <w:t>Education.</w:t>
      </w:r>
    </w:p>
    <w:p w14:paraId="36AED880" w14:textId="77777777" w:rsidR="00037C80" w:rsidRPr="00886C0A" w:rsidRDefault="00037C80"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48ADB78D" w:rsidR="003658B5" w:rsidRPr="00886C0A" w:rsidRDefault="00C37A89" w:rsidP="00C37A89">
      <w:pPr>
        <w:pStyle w:val="NormalWeb"/>
        <w:shd w:val="clear" w:color="auto" w:fill="FFFFFF"/>
        <w:rPr>
          <w:color w:val="000000"/>
        </w:rPr>
      </w:pPr>
      <w:r w:rsidRPr="00886C0A">
        <w:rPr>
          <w:color w:val="000000"/>
        </w:rPr>
        <w:t>‌</w:t>
      </w:r>
      <w:r w:rsidR="003658B5" w:rsidRPr="00886C0A">
        <w:rPr>
          <w:color w:val="000000"/>
        </w:rPr>
        <w:t xml:space="preserve">Efron,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(469), 1–5. https://doi.org/10.1198/016214505000000033</w:t>
      </w:r>
    </w:p>
    <w:p w14:paraId="1D3D8313" w14:textId="0B46E1C4" w:rsidR="00A369B7" w:rsidRPr="00886C0A" w:rsidRDefault="00646509" w:rsidP="003658B5">
      <w:pPr>
        <w:pStyle w:val="NormalWeb"/>
        <w:shd w:val="clear" w:color="auto" w:fill="FFFFFF"/>
        <w:rPr>
          <w:rStyle w:val="Hyperlink"/>
        </w:rPr>
      </w:pPr>
      <w:r w:rsidRPr="00886C0A">
        <w:t>Ganapathi, M. K., Jones, W. D., Sehouli, J., Michener, C. M., Braicu, I. E., Norris, E. J., Biscotti,</w:t>
      </w:r>
      <w:r w:rsidR="003658B5" w:rsidRPr="00886C0A">
        <w:tab/>
      </w:r>
      <w:r w:rsidRPr="00886C0A">
        <w:t>C. V., Vaziri, S. A. J., &amp; Ganapathi, R. N. (2015). Expression profile of COL2A1 and the</w:t>
      </w:r>
      <w:r w:rsidR="003658B5" w:rsidRPr="00886C0A">
        <w:lastRenderedPageBreak/>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13" w:history="1">
        <w:r w:rsidRPr="00886C0A">
          <w:rPr>
            <w:rStyle w:val="Hyperlink"/>
          </w:rPr>
          <w:t>https://doi.org/10.1002/ijc.29815</w:t>
        </w:r>
      </w:hyperlink>
    </w:p>
    <w:p w14:paraId="4C7A0289" w14:textId="397183D0" w:rsidR="00A369B7" w:rsidRDefault="00A369B7" w:rsidP="00A369B7">
      <w:pPr>
        <w:pStyle w:val="NormalWeb"/>
        <w:shd w:val="clear" w:color="auto" w:fill="FFFFFF"/>
        <w:spacing w:before="0" w:beforeAutospacing="0" w:after="0" w:afterAutospacing="0"/>
        <w:ind w:left="720" w:hanging="720"/>
        <w:rPr>
          <w:color w:val="000000"/>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w:t>
      </w:r>
      <w:hyperlink r:id="rId14" w:history="1">
        <w:r w:rsidR="00590C65" w:rsidRPr="000F646F">
          <w:rPr>
            <w:rStyle w:val="Hyperlink"/>
          </w:rPr>
          <w:t>https://ghr.nlm.nih.gov/primer/basics/gene</w:t>
        </w:r>
      </w:hyperlink>
    </w:p>
    <w:p w14:paraId="18448B7A" w14:textId="58BCCB5E" w:rsidR="00590C65" w:rsidRDefault="00590C65" w:rsidP="00A369B7">
      <w:pPr>
        <w:pStyle w:val="NormalWeb"/>
        <w:shd w:val="clear" w:color="auto" w:fill="FFFFFF"/>
        <w:spacing w:before="0" w:beforeAutospacing="0" w:after="0" w:afterAutospacing="0"/>
        <w:ind w:left="720" w:hanging="720"/>
        <w:rPr>
          <w:color w:val="000000"/>
        </w:rPr>
      </w:pPr>
    </w:p>
    <w:p w14:paraId="5DD2AA6A" w14:textId="2D4DD45E" w:rsidR="00590C65" w:rsidRPr="00886C0A" w:rsidRDefault="00590C65" w:rsidP="00590C65">
      <w:pPr>
        <w:shd w:val="clear" w:color="auto" w:fill="FFFFFF"/>
        <w:spacing w:after="0" w:line="240" w:lineRule="auto"/>
        <w:rPr>
          <w:color w:val="000000"/>
        </w:rPr>
      </w:pPr>
      <w:r w:rsidRPr="00590C65">
        <w:rPr>
          <w:rFonts w:ascii="Times New Roman" w:eastAsia="Times New Roman" w:hAnsi="Times New Roman" w:cs="Times New Roman"/>
          <w:i/>
          <w:iCs/>
          <w:color w:val="000000"/>
          <w:sz w:val="24"/>
          <w:szCs w:val="24"/>
        </w:rPr>
        <w:t>Human Genome Project FAQ</w:t>
      </w:r>
      <w:r w:rsidRPr="00590C65">
        <w:rPr>
          <w:rFonts w:ascii="Times New Roman" w:eastAsia="Times New Roman" w:hAnsi="Times New Roman" w:cs="Times New Roman"/>
          <w:color w:val="000000"/>
          <w:sz w:val="24"/>
          <w:szCs w:val="24"/>
        </w:rPr>
        <w:t xml:space="preserve">. (2013). Genome.Gov. </w:t>
      </w:r>
      <w:hyperlink r:id="rId15" w:history="1">
        <w:r w:rsidRPr="00590C65">
          <w:rPr>
            <w:rStyle w:val="Hyperlink"/>
            <w:rFonts w:ascii="Times New Roman" w:eastAsia="Times New Roman" w:hAnsi="Times New Roman" w:cs="Times New Roman"/>
            <w:sz w:val="24"/>
            <w:szCs w:val="24"/>
          </w:rPr>
          <w:t>https://www.genome.gov/human-genome</w:t>
        </w:r>
      </w:hyperlink>
      <w:r>
        <w:rPr>
          <w:rFonts w:ascii="Times New Roman" w:eastAsia="Times New Roman" w:hAnsi="Times New Roman" w:cs="Times New Roman"/>
          <w:color w:val="000000"/>
          <w:sz w:val="24"/>
          <w:szCs w:val="24"/>
        </w:rPr>
        <w:tab/>
      </w:r>
      <w:r w:rsidRPr="00590C65">
        <w:rPr>
          <w:rFonts w:ascii="Times New Roman" w:eastAsia="Times New Roman" w:hAnsi="Times New Roman" w:cs="Times New Roman"/>
          <w:color w:val="000000"/>
          <w:sz w:val="24"/>
          <w:szCs w:val="24"/>
        </w:rPr>
        <w:t>project/Completion-FAQ</w:t>
      </w:r>
    </w:p>
    <w:p w14:paraId="2A42AF82" w14:textId="77777777" w:rsidR="00344602" w:rsidRPr="00886C0A" w:rsidRDefault="00A369B7" w:rsidP="002F6C9B">
      <w:pPr>
        <w:pStyle w:val="NormalWeb"/>
        <w:shd w:val="clear" w:color="auto" w:fill="FFFFFF"/>
        <w:rPr>
          <w:rStyle w:val="Hyperlink"/>
        </w:rPr>
      </w:pPr>
      <w:r w:rsidRPr="00886C0A">
        <w:rPr>
          <w:color w:val="000000"/>
        </w:rPr>
        <w:t>‌</w:t>
      </w:r>
      <w:r w:rsidR="00646509" w:rsidRPr="00886C0A">
        <w:t>Januchowski, R., Świerczewska, M., Sterzyńska, K., Wojtowicz, K., Nowicki, M., &amp; Zabel, M.</w:t>
      </w:r>
      <w:r w:rsidRPr="00886C0A">
        <w:tab/>
      </w:r>
      <w:r w:rsidR="00646509" w:rsidRPr="00886C0A">
        <w:t>(2016). Increased Expression of Several Collagen Genes is Associated with Drug</w:t>
      </w:r>
      <w:r w:rsidRPr="00886C0A">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16" w:history="1">
        <w:r w:rsidRPr="00886C0A">
          <w:rPr>
            <w:rStyle w:val="Hyperlink"/>
          </w:rPr>
          <w:t>https://doi.org/10.7150/jca.15371</w:t>
        </w:r>
      </w:hyperlink>
    </w:p>
    <w:p w14:paraId="6BD85EB6" w14:textId="75BDA1C2" w:rsidR="00EC4BAD" w:rsidRPr="00886C0A" w:rsidRDefault="00344602" w:rsidP="00344602">
      <w:pPr>
        <w:shd w:val="clear" w:color="auto" w:fill="FFFFFF"/>
        <w:spacing w:after="0" w:line="240" w:lineRule="auto"/>
        <w:rPr>
          <w:rFonts w:ascii="Times New Roman" w:hAnsi="Times New Roman" w:cs="Times New Roman"/>
          <w:sz w:val="24"/>
          <w:szCs w:val="24"/>
        </w:rPr>
      </w:pPr>
      <w:r w:rsidRPr="00344602">
        <w:rPr>
          <w:rFonts w:ascii="Times New Roman" w:eastAsia="Times New Roman" w:hAnsi="Times New Roman" w:cs="Times New Roman"/>
          <w:color w:val="000000"/>
          <w:sz w:val="24"/>
          <w:szCs w:val="24"/>
        </w:rPr>
        <w:t>Jiang, Y., Wang, R., Urrutia, E., Anastopoulos,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17" w:history="1">
        <w:r w:rsidRPr="00344602">
          <w:rPr>
            <w:rStyle w:val="Hyperlink"/>
            <w:rFonts w:ascii="Times New Roman" w:eastAsia="Times New Roman" w:hAnsi="Times New Roman" w:cs="Times New Roman"/>
            <w:sz w:val="24"/>
            <w:szCs w:val="24"/>
          </w:rPr>
          <w:t>https://doi.org/10.1186/s13059-018-1578-y</w:t>
        </w:r>
      </w:hyperlink>
      <w:r w:rsidRPr="00886C0A">
        <w:rPr>
          <w:rFonts w:ascii="Times New Roman" w:eastAsia="Times New Roman" w:hAnsi="Times New Roman" w:cs="Times New Roman"/>
          <w:color w:val="000000"/>
          <w:sz w:val="24"/>
          <w:szCs w:val="24"/>
        </w:rPr>
        <w:br/>
      </w:r>
      <w:r w:rsidRPr="00344602">
        <w:rPr>
          <w:rFonts w:ascii="Times New Roman" w:eastAsia="Times New Roman" w:hAnsi="Times New Roman" w:cs="Times New Roman"/>
          <w:color w:val="000000"/>
          <w:sz w:val="24"/>
          <w:szCs w:val="24"/>
        </w:rPr>
        <w:t>‌</w:t>
      </w:r>
    </w:p>
    <w:p w14:paraId="0F2D3C1B" w14:textId="5FC574F7" w:rsidR="00646509" w:rsidRPr="00886C0A" w:rsidRDefault="00646509" w:rsidP="00646509">
      <w:pPr>
        <w:pStyle w:val="NormalWeb"/>
        <w:spacing w:before="0" w:beforeAutospacing="0" w:after="0" w:afterAutospacing="0"/>
        <w:ind w:left="720" w:hanging="720"/>
        <w:rPr>
          <w:rStyle w:val="Hyperlink"/>
        </w:rPr>
      </w:pPr>
      <w:r w:rsidRPr="00886C0A">
        <w:t xml:space="preserve">Liu, J., Lichtenberg, T., Hoadley, K. A., Poisson, L. M., Lazar, A. J., Cherniack, A. D., Kovatich, A. J., Benz, C. C., Levine, D. A., Lee, A. V., Omberg, L., Wolf, D. M., Shriver, C. D., Thorsson, V., Hu, H., Caesar-Johnson, S. J., Demchok, J. A., Felau, I., Kasapi, M., … Mariamidze,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18" w:history="1">
        <w:r w:rsidRPr="00886C0A">
          <w:rPr>
            <w:rStyle w:val="Hyperlink"/>
          </w:rPr>
          <w:t>https://doi.org/10.1016/j.cell.2018.02.052</w:t>
        </w:r>
      </w:hyperlink>
    </w:p>
    <w:p w14:paraId="352507B7" w14:textId="68A5C51B" w:rsidR="00960894" w:rsidRPr="00886C0A" w:rsidRDefault="00960894" w:rsidP="00646509">
      <w:pPr>
        <w:pStyle w:val="NormalWeb"/>
        <w:spacing w:before="0" w:beforeAutospacing="0" w:after="0" w:afterAutospacing="0"/>
        <w:ind w:left="720" w:hanging="720"/>
        <w:rPr>
          <w:rStyle w:val="Hyperlink"/>
        </w:rPr>
      </w:pPr>
    </w:p>
    <w:p w14:paraId="58DB0C0E" w14:textId="495A0498" w:rsidR="00960894" w:rsidRPr="00960894" w:rsidRDefault="00960894" w:rsidP="00960894">
      <w:pPr>
        <w:shd w:val="clear" w:color="auto" w:fill="FFFFFF"/>
        <w:spacing w:after="0" w:line="240" w:lineRule="auto"/>
        <w:rPr>
          <w:rFonts w:ascii="Times New Roman" w:eastAsia="Times New Roman" w:hAnsi="Times New Roman" w:cs="Times New Roman"/>
          <w:color w:val="000000"/>
          <w:sz w:val="24"/>
          <w:szCs w:val="24"/>
        </w:rPr>
      </w:pPr>
      <w:r w:rsidRPr="00960894">
        <w:rPr>
          <w:rFonts w:ascii="Times New Roman" w:eastAsia="Times New Roman" w:hAnsi="Times New Roman" w:cs="Times New Roman"/>
          <w:color w:val="000000"/>
          <w:sz w:val="24"/>
          <w:szCs w:val="24"/>
        </w:rPr>
        <w:t>Prinja, S., Gupta, N., &amp; Verma, R. (2010). Censoring in Clinical Trials: Review of Survival</w:t>
      </w:r>
      <w:r w:rsidRPr="00886C0A">
        <w:rPr>
          <w:rFonts w:ascii="Times New Roman" w:eastAsia="Times New Roman" w:hAnsi="Times New Roman" w:cs="Times New Roman"/>
          <w:color w:val="000000"/>
          <w:sz w:val="24"/>
          <w:szCs w:val="24"/>
        </w:rPr>
        <w:tab/>
      </w:r>
      <w:r w:rsidRPr="00960894">
        <w:rPr>
          <w:rFonts w:ascii="Times New Roman" w:eastAsia="Times New Roman" w:hAnsi="Times New Roman" w:cs="Times New Roman"/>
          <w:color w:val="000000"/>
          <w:sz w:val="24"/>
          <w:szCs w:val="24"/>
        </w:rPr>
        <w:t xml:space="preserve">Analysis Techniques. </w:t>
      </w:r>
      <w:r w:rsidRPr="00960894">
        <w:rPr>
          <w:rFonts w:ascii="Times New Roman" w:eastAsia="Times New Roman" w:hAnsi="Times New Roman" w:cs="Times New Roman"/>
          <w:i/>
          <w:iCs/>
          <w:color w:val="000000"/>
          <w:sz w:val="24"/>
          <w:szCs w:val="24"/>
        </w:rPr>
        <w:t>Indian Journal of Community Medicine : Official Publication of</w:t>
      </w:r>
      <w:r w:rsidRPr="00886C0A">
        <w:rPr>
          <w:rFonts w:ascii="Times New Roman" w:eastAsia="Times New Roman" w:hAnsi="Times New Roman" w:cs="Times New Roman"/>
          <w:i/>
          <w:iCs/>
          <w:color w:val="000000"/>
          <w:sz w:val="24"/>
          <w:szCs w:val="24"/>
        </w:rPr>
        <w:tab/>
      </w:r>
      <w:r w:rsidRPr="00960894">
        <w:rPr>
          <w:rFonts w:ascii="Times New Roman" w:eastAsia="Times New Roman" w:hAnsi="Times New Roman" w:cs="Times New Roman"/>
          <w:i/>
          <w:iCs/>
          <w:color w:val="000000"/>
          <w:sz w:val="24"/>
          <w:szCs w:val="24"/>
        </w:rPr>
        <w:t>Indian Association of Preventive &amp; Social Medicine</w:t>
      </w:r>
      <w:r w:rsidRPr="00960894">
        <w:rPr>
          <w:rFonts w:ascii="Times New Roman" w:eastAsia="Times New Roman" w:hAnsi="Times New Roman" w:cs="Times New Roman"/>
          <w:color w:val="000000"/>
          <w:sz w:val="24"/>
          <w:szCs w:val="24"/>
        </w:rPr>
        <w:t xml:space="preserve">, </w:t>
      </w:r>
      <w:r w:rsidRPr="00960894">
        <w:rPr>
          <w:rFonts w:ascii="Times New Roman" w:eastAsia="Times New Roman" w:hAnsi="Times New Roman" w:cs="Times New Roman"/>
          <w:i/>
          <w:iCs/>
          <w:color w:val="000000"/>
          <w:sz w:val="24"/>
          <w:szCs w:val="24"/>
        </w:rPr>
        <w:t>35</w:t>
      </w:r>
      <w:r w:rsidRPr="00960894">
        <w:rPr>
          <w:rFonts w:ascii="Times New Roman" w:eastAsia="Times New Roman" w:hAnsi="Times New Roman" w:cs="Times New Roman"/>
          <w:color w:val="000000"/>
          <w:sz w:val="24"/>
          <w:szCs w:val="24"/>
        </w:rPr>
        <w:t>(2), 217–221.</w:t>
      </w:r>
      <w:r w:rsidRPr="00886C0A">
        <w:rPr>
          <w:rFonts w:ascii="Times New Roman" w:eastAsia="Times New Roman" w:hAnsi="Times New Roman" w:cs="Times New Roman"/>
          <w:color w:val="000000"/>
          <w:sz w:val="24"/>
          <w:szCs w:val="24"/>
        </w:rPr>
        <w:tab/>
      </w:r>
      <w:r w:rsidRPr="00960894">
        <w:rPr>
          <w:rFonts w:ascii="Times New Roman" w:eastAsia="Times New Roman" w:hAnsi="Times New Roman" w:cs="Times New Roman"/>
          <w:color w:val="000000"/>
          <w:sz w:val="24"/>
          <w:szCs w:val="24"/>
        </w:rPr>
        <w:t>https://doi.org/10.4103/0970-0218.66859</w:t>
      </w:r>
    </w:p>
    <w:p w14:paraId="04F693A4" w14:textId="3EB22E69" w:rsidR="00F93ED0" w:rsidRPr="00886C0A"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 xml:space="preserve">Ricciardelli,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19" w:history="1">
        <w:r w:rsidR="00646509" w:rsidRPr="00886C0A">
          <w:rPr>
            <w:rStyle w:val="Hyperlink"/>
            <w:rFonts w:ascii="Times New Roman" w:hAnsi="Times New Roman" w:cs="Times New Roman"/>
            <w:sz w:val="24"/>
            <w:szCs w:val="24"/>
          </w:rPr>
          <w:t>https://doi.org/10.1055/s-2006-948556</w:t>
        </w:r>
      </w:hyperlink>
    </w:p>
    <w:p w14:paraId="066B4AC6" w14:textId="7A7CBA03" w:rsidR="00F93ED0" w:rsidRPr="00F93ED0" w:rsidRDefault="00F93ED0" w:rsidP="00F93ED0">
      <w:pPr>
        <w:shd w:val="clear" w:color="auto" w:fill="FFFFFF"/>
        <w:spacing w:after="0" w:line="240" w:lineRule="auto"/>
        <w:rPr>
          <w:rFonts w:ascii="Times New Roman" w:eastAsia="Times New Roman" w:hAnsi="Times New Roman" w:cs="Times New Roman"/>
          <w:color w:val="000000"/>
          <w:sz w:val="24"/>
          <w:szCs w:val="24"/>
        </w:rPr>
      </w:pPr>
      <w:r w:rsidRPr="00F93ED0">
        <w:rPr>
          <w:rFonts w:ascii="Times New Roman" w:eastAsia="Times New Roman" w:hAnsi="Times New Roman" w:cs="Times New Roman"/>
          <w:color w:val="000000"/>
          <w:sz w:val="24"/>
          <w:szCs w:val="24"/>
        </w:rPr>
        <w:t>Rocher, L., Hendrickx, J. M., &amp; de Montjoye, Y.-A. (2019). Estimating the success of re</w:t>
      </w:r>
      <w:r w:rsidRPr="00886C0A">
        <w:rPr>
          <w:rFonts w:ascii="Times New Roman" w:eastAsia="Times New Roman" w:hAnsi="Times New Roman" w:cs="Times New Roman"/>
          <w:color w:val="000000"/>
          <w:sz w:val="24"/>
          <w:szCs w:val="24"/>
        </w:rPr>
        <w:tab/>
      </w:r>
      <w:r w:rsidRPr="00F93ED0">
        <w:rPr>
          <w:rFonts w:ascii="Times New Roman" w:eastAsia="Times New Roman" w:hAnsi="Times New Roman" w:cs="Times New Roman"/>
          <w:color w:val="000000"/>
          <w:sz w:val="24"/>
          <w:szCs w:val="24"/>
        </w:rPr>
        <w:t xml:space="preserve">identifications in incomplete datasets using generative models. </w:t>
      </w:r>
      <w:r w:rsidRPr="00F93ED0">
        <w:rPr>
          <w:rFonts w:ascii="Times New Roman" w:eastAsia="Times New Roman" w:hAnsi="Times New Roman" w:cs="Times New Roman"/>
          <w:i/>
          <w:iCs/>
          <w:color w:val="000000"/>
          <w:sz w:val="24"/>
          <w:szCs w:val="24"/>
        </w:rPr>
        <w:t>Nature Communications</w:t>
      </w:r>
      <w:r w:rsidRPr="00F93ED0">
        <w:rPr>
          <w:rFonts w:ascii="Times New Roman" w:eastAsia="Times New Roman" w:hAnsi="Times New Roman" w:cs="Times New Roman"/>
          <w:color w:val="000000"/>
          <w:sz w:val="24"/>
          <w:szCs w:val="24"/>
        </w:rPr>
        <w:t>,</w:t>
      </w:r>
      <w:r w:rsidRPr="00886C0A">
        <w:rPr>
          <w:rFonts w:ascii="Times New Roman" w:eastAsia="Times New Roman" w:hAnsi="Times New Roman" w:cs="Times New Roman"/>
          <w:color w:val="000000"/>
          <w:sz w:val="24"/>
          <w:szCs w:val="24"/>
        </w:rPr>
        <w:tab/>
      </w:r>
      <w:r w:rsidRPr="00F93ED0">
        <w:rPr>
          <w:rFonts w:ascii="Times New Roman" w:eastAsia="Times New Roman" w:hAnsi="Times New Roman" w:cs="Times New Roman"/>
          <w:i/>
          <w:iCs/>
          <w:color w:val="000000"/>
          <w:sz w:val="24"/>
          <w:szCs w:val="24"/>
        </w:rPr>
        <w:t>10</w:t>
      </w:r>
      <w:r w:rsidRPr="00F93ED0">
        <w:rPr>
          <w:rFonts w:ascii="Times New Roman" w:eastAsia="Times New Roman" w:hAnsi="Times New Roman" w:cs="Times New Roman"/>
          <w:color w:val="000000"/>
          <w:sz w:val="24"/>
          <w:szCs w:val="24"/>
        </w:rPr>
        <w:t>(1). https://doi.org/10.1038/s41467-019-10933-3</w:t>
      </w:r>
    </w:p>
    <w:p w14:paraId="01799422" w14:textId="33296E20" w:rsidR="00646509" w:rsidRDefault="00F93ED0" w:rsidP="00F93ED0">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F93ED0">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Spainhour, J. C. G., &amp; Qiu, P. (2016). Identification of gene-drug interactions that impact patient</w:t>
      </w:r>
      <w:r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20" w:history="1">
        <w:r w:rsidRPr="00886C0A">
          <w:rPr>
            <w:rStyle w:val="Hyperlink"/>
            <w:rFonts w:ascii="Times New Roman" w:hAnsi="Times New Roman" w:cs="Times New Roman"/>
            <w:sz w:val="24"/>
            <w:szCs w:val="24"/>
          </w:rPr>
          <w:t>https://doi.org/10.1186/s12859-016</w:t>
        </w:r>
        <w:r w:rsidRPr="00886C0A">
          <w:rPr>
            <w:rStyle w:val="Hyperlink"/>
            <w:rFonts w:ascii="Times New Roman" w:hAnsi="Times New Roman" w:cs="Times New Roman"/>
            <w:sz w:val="24"/>
            <w:szCs w:val="24"/>
            <w:u w:val="none"/>
          </w:rPr>
          <w:tab/>
        </w:r>
        <w:r w:rsidRPr="00886C0A">
          <w:rPr>
            <w:rStyle w:val="Hyperlink"/>
            <w:rFonts w:ascii="Times New Roman" w:hAnsi="Times New Roman" w:cs="Times New Roman"/>
            <w:sz w:val="24"/>
            <w:szCs w:val="24"/>
          </w:rPr>
          <w:t>1255-7</w:t>
        </w:r>
      </w:hyperlink>
    </w:p>
    <w:p w14:paraId="769FD942" w14:textId="1D0C891E" w:rsidR="00284592" w:rsidRPr="00284592" w:rsidRDefault="00284592" w:rsidP="00284592">
      <w:pPr>
        <w:shd w:val="clear" w:color="auto" w:fill="FFFFFF"/>
        <w:spacing w:after="0" w:line="240" w:lineRule="auto"/>
        <w:rPr>
          <w:rFonts w:ascii="Times New Roman" w:eastAsia="Times New Roman" w:hAnsi="Times New Roman" w:cs="Times New Roman"/>
          <w:color w:val="000000"/>
          <w:sz w:val="24"/>
          <w:szCs w:val="24"/>
        </w:rPr>
      </w:pPr>
      <w:r w:rsidRPr="00284592">
        <w:rPr>
          <w:rFonts w:ascii="Times New Roman" w:eastAsia="Times New Roman" w:hAnsi="Times New Roman" w:cs="Times New Roman"/>
          <w:color w:val="000000"/>
          <w:sz w:val="24"/>
          <w:szCs w:val="24"/>
        </w:rPr>
        <w:t xml:space="preserve">TCGA - Ovarian Serous Adenocarcinoma Study. (2018, September 5). </w:t>
      </w:r>
      <w:hyperlink r:id="rId21" w:history="1">
        <w:r w:rsidRPr="00284592">
          <w:rPr>
            <w:rStyle w:val="Hyperlink"/>
            <w:rFonts w:ascii="Times New Roman" w:eastAsia="Times New Roman" w:hAnsi="Times New Roman" w:cs="Times New Roman"/>
            <w:sz w:val="24"/>
            <w:szCs w:val="24"/>
          </w:rPr>
          <w:t>Www.Cancer.Gov</w:t>
        </w:r>
      </w:hyperlink>
      <w:r w:rsidRPr="0028459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22" w:history="1">
        <w:r w:rsidRPr="00284592">
          <w:rPr>
            <w:rStyle w:val="Hyperlink"/>
            <w:rFonts w:ascii="Times New Roman" w:eastAsia="Times New Roman" w:hAnsi="Times New Roman" w:cs="Times New Roman"/>
            <w:sz w:val="24"/>
            <w:szCs w:val="24"/>
          </w:rPr>
          <w:t>https://www.cancer.gov/about-nci/organization/ccg/research/structural</w:t>
        </w:r>
      </w:hyperlink>
      <w:r>
        <w:rPr>
          <w:rFonts w:ascii="Times New Roman" w:eastAsia="Times New Roman" w:hAnsi="Times New Roman" w:cs="Times New Roman"/>
          <w:color w:val="000000"/>
          <w:sz w:val="24"/>
          <w:szCs w:val="24"/>
        </w:rPr>
        <w:tab/>
      </w:r>
      <w:r w:rsidRPr="00284592">
        <w:rPr>
          <w:rFonts w:ascii="Times New Roman" w:eastAsia="Times New Roman" w:hAnsi="Times New Roman" w:cs="Times New Roman"/>
          <w:color w:val="000000"/>
          <w:sz w:val="24"/>
          <w:szCs w:val="24"/>
        </w:rPr>
        <w:t>genomics/tcga/studied-cancers/ovarian</w:t>
      </w:r>
      <w:r>
        <w:rPr>
          <w:rFonts w:ascii="Times New Roman" w:eastAsia="Times New Roman" w:hAnsi="Times New Roman" w:cs="Times New Roman"/>
          <w:color w:val="000000"/>
          <w:sz w:val="24"/>
          <w:szCs w:val="24"/>
        </w:rPr>
        <w:br/>
      </w:r>
      <w:r w:rsidRPr="00284592">
        <w:rPr>
          <w:rFonts w:ascii="Times New Roman" w:eastAsia="Times New Roman" w:hAnsi="Times New Roman" w:cs="Times New Roman"/>
          <w:color w:val="000000"/>
          <w:sz w:val="24"/>
          <w:szCs w:val="24"/>
        </w:rPr>
        <w:t>‌</w:t>
      </w:r>
    </w:p>
    <w:p w14:paraId="30349526" w14:textId="20A78D2B" w:rsidR="00646509" w:rsidRPr="00886C0A" w:rsidRDefault="00646509" w:rsidP="00646509">
      <w:pPr>
        <w:pStyle w:val="NormalWeb"/>
        <w:spacing w:before="0" w:beforeAutospacing="0" w:after="0" w:afterAutospacing="0"/>
        <w:ind w:left="720" w:hanging="720"/>
        <w:rPr>
          <w:rStyle w:val="Hyperlink"/>
        </w:rPr>
      </w:pPr>
      <w:r w:rsidRPr="00886C0A">
        <w:lastRenderedPageBreak/>
        <w:t xml:space="preserve">Teng, P.-N., Wang, G., Hood, B. L., Conrads, K. A., Hamilton, C. A., Maxwell, G. L., Darcy, K. M., &amp; Conrads, T. P. (2013). Identification of candidate circulating cisplatin-resistant biomarkers from epithelial ovarian carcinoma cell secretomes. </w:t>
      </w:r>
      <w:r w:rsidRPr="00886C0A">
        <w:rPr>
          <w:i/>
          <w:iCs/>
        </w:rPr>
        <w:t>British Journal of Cancer</w:t>
      </w:r>
      <w:r w:rsidRPr="00886C0A">
        <w:t xml:space="preserve">, </w:t>
      </w:r>
      <w:r w:rsidRPr="00886C0A">
        <w:rPr>
          <w:i/>
          <w:iCs/>
        </w:rPr>
        <w:t>110</w:t>
      </w:r>
      <w:r w:rsidRPr="00886C0A">
        <w:t xml:space="preserve">(1), 123–132. </w:t>
      </w:r>
      <w:hyperlink r:id="rId23" w:history="1">
        <w:r w:rsidRPr="00886C0A">
          <w:rPr>
            <w:rStyle w:val="Hyperlink"/>
          </w:rPr>
          <w:t>https://doi.org/10.1038/bjc.2013.687</w:t>
        </w:r>
      </w:hyperlink>
    </w:p>
    <w:p w14:paraId="56DF7E64" w14:textId="57009F03" w:rsidR="009258F2" w:rsidRPr="00886C0A" w:rsidRDefault="009258F2" w:rsidP="00646509">
      <w:pPr>
        <w:pStyle w:val="NormalWeb"/>
        <w:spacing w:before="0" w:beforeAutospacing="0" w:after="0" w:afterAutospacing="0"/>
        <w:ind w:left="720" w:hanging="720"/>
        <w:rPr>
          <w:rStyle w:val="Hyperlink"/>
        </w:rPr>
      </w:pP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24"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7DBFA3F2"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National Cancer Institute; Cancer.gov. </w:t>
      </w:r>
      <w:hyperlink r:id="rId25"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3F740BA8" w:rsidR="00211DE1" w:rsidRPr="00886C0A" w:rsidRDefault="00211DE1" w:rsidP="00211DE1">
      <w:pPr>
        <w:shd w:val="clear" w:color="auto" w:fill="FFFFFF"/>
        <w:spacing w:after="0" w:line="240" w:lineRule="auto"/>
        <w:rPr>
          <w:rFonts w:ascii="Times New Roman" w:eastAsia="Times New Roman" w:hAnsi="Times New Roman" w:cs="Times New Roman"/>
          <w:color w:val="000000"/>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26" w:history="1">
        <w:r w:rsidR="005D6E04" w:rsidRPr="00211DE1">
          <w:rPr>
            <w:rStyle w:val="Hyperlink"/>
            <w:rFonts w:ascii="Times New Roman" w:eastAsia="Times New Roman" w:hAnsi="Times New Roman" w:cs="Times New Roman"/>
            <w:sz w:val="24"/>
            <w:szCs w:val="24"/>
          </w:rPr>
          <w:t>https://doi.org/10.1038/nm.3801</w:t>
        </w:r>
      </w:hyperlink>
    </w:p>
    <w:p w14:paraId="0FCEF531" w14:textId="03FB36E5" w:rsidR="005D6E04" w:rsidRPr="00886C0A" w:rsidRDefault="005D6E04" w:rsidP="00211DE1">
      <w:pPr>
        <w:shd w:val="clear" w:color="auto" w:fill="FFFFFF"/>
        <w:spacing w:after="0" w:line="240" w:lineRule="auto"/>
        <w:rPr>
          <w:rFonts w:ascii="Times New Roman" w:eastAsia="Times New Roman" w:hAnsi="Times New Roman" w:cs="Times New Roman"/>
          <w:color w:val="000000"/>
          <w:sz w:val="24"/>
          <w:szCs w:val="24"/>
        </w:rPr>
      </w:pPr>
    </w:p>
    <w:p w14:paraId="670796D7" w14:textId="6C8C17E7" w:rsidR="00211DE1" w:rsidRPr="00886C0A"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Ulrich, T. (2016, September 13). Opinionome: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27"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p>
    <w:p w14:paraId="05B38FE0" w14:textId="77777777" w:rsidR="00D15DD8" w:rsidRPr="00886C0A"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 xml:space="preserve">Webster, T. H., Couse, M., Grande, B. M., Karlins, E., Phung, T. N., Richmond, P. A., Whitford, W., &amp; Wilson, M. A. (2019). Identifying, understanding, and correcting technical artifacts on the sex chromosomes in next-generation sequencing data. </w:t>
      </w:r>
      <w:r w:rsidRPr="00886C0A">
        <w:rPr>
          <w:rFonts w:ascii="Times New Roman" w:eastAsia="Times New Roman" w:hAnsi="Times New Roman" w:cs="Times New Roman"/>
          <w:i/>
          <w:iCs/>
          <w:color w:val="000000"/>
          <w:sz w:val="24"/>
          <w:szCs w:val="24"/>
        </w:rPr>
        <w:t>GigaScience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(7). https://doi.org/10.1093/gigascience/giz074</w:t>
      </w:r>
    </w:p>
    <w:p w14:paraId="7729797D" w14:textId="6D7F76FE" w:rsidR="00646509" w:rsidRPr="00886C0A" w:rsidRDefault="00D15DD8" w:rsidP="00D15DD8">
      <w:pPr>
        <w:shd w:val="clear" w:color="auto" w:fill="FFFFFF"/>
        <w:spacing w:before="100" w:beforeAutospacing="1" w:after="100" w:afterAutospacing="1" w:line="240" w:lineRule="auto"/>
        <w:rPr>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28" w:history="1">
        <w:r w:rsidR="00A95F11" w:rsidRPr="00886C0A">
          <w:rPr>
            <w:rStyle w:val="Hyperlink"/>
            <w:rFonts w:ascii="Times New Roman" w:hAnsi="Times New Roman" w:cs="Times New Roman"/>
            <w:sz w:val="24"/>
            <w:szCs w:val="24"/>
          </w:rPr>
          <w:t>https://doi.org/10.1038/onc.2013.307</w:t>
        </w:r>
      </w:hyperlink>
    </w:p>
    <w:p w14:paraId="05FC6812" w14:textId="77777777" w:rsidR="00646509" w:rsidRPr="00886C0A" w:rsidRDefault="00646509" w:rsidP="00646509">
      <w:pPr>
        <w:pStyle w:val="NormalWeb"/>
        <w:spacing w:before="0" w:beforeAutospacing="0" w:after="0" w:afterAutospacing="0"/>
        <w:ind w:left="720" w:hanging="720"/>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(1). https://doi.org/10.1186/s12967-019-2058-1</w:t>
      </w:r>
    </w:p>
    <w:p w14:paraId="41E8F15C" w14:textId="4E1F73B4" w:rsidR="00646509" w:rsidRPr="00886C0A" w:rsidRDefault="00646509" w:rsidP="00646509">
      <w:pPr>
        <w:spacing w:line="360" w:lineRule="auto"/>
        <w:rPr>
          <w:rFonts w:ascii="Times New Roman" w:hAnsi="Times New Roman" w:cs="Times New Roman"/>
          <w:b/>
          <w:sz w:val="24"/>
          <w:szCs w:val="24"/>
        </w:rPr>
      </w:pPr>
    </w:p>
    <w:p w14:paraId="30DB1DED" w14:textId="77777777" w:rsidR="00AB7ECA" w:rsidRPr="00886C0A" w:rsidRDefault="00AB7ECA">
      <w:pPr>
        <w:rPr>
          <w:rFonts w:ascii="Times New Roman" w:hAnsi="Times New Roman" w:cs="Times New Roman"/>
          <w:b/>
          <w:sz w:val="24"/>
          <w:szCs w:val="24"/>
        </w:rPr>
      </w:pPr>
      <w:r w:rsidRPr="00886C0A">
        <w:rPr>
          <w:rFonts w:ascii="Times New Roman" w:hAnsi="Times New Roman" w:cs="Times New Roman"/>
          <w:b/>
          <w:sz w:val="24"/>
          <w:szCs w:val="24"/>
        </w:rPr>
        <w:br w:type="page"/>
      </w:r>
    </w:p>
    <w:p w14:paraId="35D411D2" w14:textId="20A68F7B"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22D71566">
            <wp:extent cx="5934075" cy="1657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5C8B8057" w14:textId="7F1C4E5A" w:rsidR="00162857" w:rsidRDefault="0060078F" w:rsidP="00646509">
      <w:pPr>
        <w:spacing w:line="360" w:lineRule="auto"/>
        <w:rPr>
          <w:rFonts w:ascii="Times New Roman" w:hAnsi="Times New Roman" w:cs="Times New Roman"/>
          <w:bCs/>
          <w:u w:val="single"/>
        </w:rPr>
      </w:pPr>
      <w:r w:rsidRPr="0060078F">
        <w:rPr>
          <w:noProof/>
        </w:rPr>
        <w:drawing>
          <wp:inline distT="0" distB="0" distL="0" distR="0" wp14:anchorId="3323AE02" wp14:editId="2988CCC2">
            <wp:extent cx="5988685" cy="297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85892" cy="3069005"/>
                    </a:xfrm>
                    <a:prstGeom prst="rect">
                      <a:avLst/>
                    </a:prstGeom>
                  </pic:spPr>
                </pic:pic>
              </a:graphicData>
            </a:graphic>
          </wp:inline>
        </w:drawing>
      </w:r>
    </w:p>
    <w:p w14:paraId="7BF6BC0B" w14:textId="4314CD4C" w:rsidR="00162857" w:rsidRPr="00162857" w:rsidRDefault="00162857" w:rsidP="00646509">
      <w:pPr>
        <w:spacing w:line="360" w:lineRule="auto"/>
        <w:rPr>
          <w:rFonts w:ascii="Times New Roman" w:hAnsi="Times New Roman" w:cs="Times New Roman"/>
          <w:bCs/>
        </w:rPr>
      </w:pPr>
      <w:r>
        <w:rPr>
          <w:rFonts w:ascii="Times New Roman" w:hAnsi="Times New Roman" w:cs="Times New Roman"/>
          <w:bCs/>
        </w:rPr>
        <w:tab/>
      </w:r>
      <w:r w:rsidRPr="00A21EFD">
        <w:rPr>
          <w:rFonts w:ascii="Times New Roman" w:hAnsi="Times New Roman" w:cs="Times New Roman"/>
          <w:bCs/>
          <w:sz w:val="18"/>
          <w:szCs w:val="18"/>
        </w:rPr>
        <w:t>Figure COL12A1 survival has stratified curve of CNV changes</w:t>
      </w:r>
      <w:r w:rsidR="00A21EFD">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sidR="00A21EFD">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sidR="002C247C">
        <w:rPr>
          <w:rFonts w:ascii="Times New Roman" w:hAnsi="Times New Roman" w:cs="Times New Roman"/>
          <w:bCs/>
          <w:sz w:val="18"/>
          <w:szCs w:val="18"/>
        </w:rPr>
        <w:t xml:space="preserve"> showing increased survival probability</w:t>
      </w:r>
      <w:r w:rsidRPr="00A21EFD">
        <w:rPr>
          <w:rFonts w:ascii="Times New Roman" w:hAnsi="Times New Roman" w:cs="Times New Roman"/>
          <w:bCs/>
          <w:sz w:val="18"/>
          <w:szCs w:val="18"/>
        </w:rPr>
        <w:t xml:space="preserve"> while red illustrates deletion of copy number variation</w:t>
      </w:r>
      <w:r w:rsidR="002C247C">
        <w:rPr>
          <w:rFonts w:ascii="Times New Roman" w:hAnsi="Times New Roman" w:cs="Times New Roman"/>
          <w:bCs/>
          <w:sz w:val="18"/>
          <w:szCs w:val="18"/>
        </w:rPr>
        <w:t xml:space="preserve"> displaying lower survival probability</w:t>
      </w:r>
      <w:r w:rsidRPr="00A21EFD">
        <w:rPr>
          <w:rFonts w:ascii="Times New Roman" w:hAnsi="Times New Roman" w:cs="Times New Roman"/>
          <w:bCs/>
          <w:sz w:val="18"/>
          <w:szCs w:val="18"/>
        </w:rPr>
        <w:t>.</w:t>
      </w:r>
      <w:r w:rsidR="00A21EFD" w:rsidRPr="00A21EFD">
        <w:rPr>
          <w:rFonts w:ascii="Times New Roman" w:hAnsi="Times New Roman" w:cs="Times New Roman"/>
          <w:bCs/>
          <w:sz w:val="18"/>
          <w:szCs w:val="18"/>
        </w:rPr>
        <w:t xml:space="preserve">  Blue displays normal copy number variation.  The model’s p-value of 0.046 demonstrates a statistically significant model when stratifying between COL12A1 duplication and deletion with regards to survival time.  </w:t>
      </w:r>
      <w:r w:rsidR="00931D58" w:rsidRPr="00A21EFD">
        <w:rPr>
          <w:rFonts w:ascii="Times New Roman" w:hAnsi="Times New Roman" w:cs="Times New Roman"/>
          <w:bCs/>
          <w:sz w:val="18"/>
          <w:szCs w:val="18"/>
        </w:rPr>
        <w:t>The dotted lines display the 50% survival probability between duplicatio</w:t>
      </w:r>
      <w:r w:rsidR="00931D58">
        <w:rPr>
          <w:rFonts w:ascii="Times New Roman" w:hAnsi="Times New Roman" w:cs="Times New Roman"/>
          <w:bCs/>
          <w:sz w:val="18"/>
          <w:szCs w:val="18"/>
        </w:rPr>
        <w:t>n,</w:t>
      </w:r>
      <w:r w:rsidR="00931D58"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00931D58" w:rsidRPr="00A21EFD">
        <w:rPr>
          <w:rFonts w:ascii="Times New Roman" w:hAnsi="Times New Roman" w:cs="Times New Roman"/>
          <w:bCs/>
          <w:sz w:val="18"/>
          <w:szCs w:val="18"/>
        </w:rPr>
        <w:t xml:space="preserve"> copy number variation.</w:t>
      </w:r>
    </w:p>
    <w:p w14:paraId="757D98B5" w14:textId="6247FF5C" w:rsidR="00162857" w:rsidRDefault="00162857">
      <w:pPr>
        <w:rPr>
          <w:rFonts w:ascii="Times New Roman" w:hAnsi="Times New Roman" w:cs="Times New Roman"/>
          <w:bCs/>
          <w:u w:val="single"/>
        </w:rPr>
      </w:pPr>
      <w:r>
        <w:rPr>
          <w:rFonts w:ascii="Times New Roman" w:hAnsi="Times New Roman" w:cs="Times New Roman"/>
          <w:bCs/>
          <w:u w:val="single"/>
        </w:rPr>
        <w:br w:type="page"/>
      </w:r>
    </w:p>
    <w:p w14:paraId="6C9137D8" w14:textId="6EC77919" w:rsidR="0060078F" w:rsidRDefault="0060078F" w:rsidP="00646509">
      <w:pPr>
        <w:spacing w:line="360" w:lineRule="auto"/>
        <w:rPr>
          <w:rFonts w:ascii="Times New Roman" w:hAnsi="Times New Roman" w:cs="Times New Roman"/>
          <w:b/>
        </w:rPr>
      </w:pPr>
      <w:r w:rsidRPr="0060078F">
        <w:rPr>
          <w:rFonts w:ascii="Times New Roman" w:hAnsi="Times New Roman" w:cs="Times New Roman"/>
          <w:bCs/>
          <w:u w:val="single"/>
        </w:rPr>
        <w:lastRenderedPageBreak/>
        <w:t>COL4A3BP</w:t>
      </w:r>
    </w:p>
    <w:p w14:paraId="4ACD240D" w14:textId="5832CD72"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90590" cy="3668395"/>
                    </a:xfrm>
                    <a:prstGeom prst="rect">
                      <a:avLst/>
                    </a:prstGeom>
                  </pic:spPr>
                </pic:pic>
              </a:graphicData>
            </a:graphic>
          </wp:inline>
        </w:drawing>
      </w:r>
    </w:p>
    <w:p w14:paraId="30007B5C" w14:textId="313B43CC" w:rsidR="002C247C" w:rsidRDefault="002C247C" w:rsidP="00646509">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4</w:t>
      </w:r>
      <w:r w:rsidRPr="00A21EFD">
        <w:rPr>
          <w:rFonts w:ascii="Times New Roman" w:hAnsi="Times New Roman" w:cs="Times New Roman"/>
          <w:bCs/>
          <w:sz w:val="18"/>
          <w:szCs w:val="18"/>
        </w:rPr>
        <w:t>A</w:t>
      </w:r>
      <w:r>
        <w:rPr>
          <w:rFonts w:ascii="Times New Roman" w:hAnsi="Times New Roman" w:cs="Times New Roman"/>
          <w:bCs/>
          <w:sz w:val="18"/>
          <w:szCs w:val="18"/>
        </w:rPr>
        <w:t>3BP</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 decreased survival probability</w:t>
      </w:r>
      <w:r w:rsidRPr="00A21EFD">
        <w:rPr>
          <w:rFonts w:ascii="Times New Roman" w:hAnsi="Times New Roman" w:cs="Times New Roman"/>
          <w:bCs/>
          <w:sz w:val="18"/>
          <w:szCs w:val="18"/>
        </w:rPr>
        <w:t xml:space="preserve"> while red illustrates deletion of copy number variation.  Blue displays normal copy number variation</w:t>
      </w:r>
      <w:r>
        <w:rPr>
          <w:rFonts w:ascii="Times New Roman" w:hAnsi="Times New Roman" w:cs="Times New Roman"/>
          <w:bCs/>
          <w:sz w:val="18"/>
          <w:szCs w:val="18"/>
        </w:rPr>
        <w:t xml:space="preserve"> illustrating an increased survival probability compared to copy number variation duplication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21</w:t>
      </w:r>
      <w:r w:rsidRPr="00A21EFD">
        <w:rPr>
          <w:rFonts w:ascii="Times New Roman" w:hAnsi="Times New Roman" w:cs="Times New Roman"/>
          <w:bCs/>
          <w:sz w:val="18"/>
          <w:szCs w:val="18"/>
        </w:rPr>
        <w:t xml:space="preserve"> demonstrates a statistically significant model when stratifying between COL12A1 duplication </w:t>
      </w:r>
      <w:r w:rsidR="00931D58">
        <w:rPr>
          <w:rFonts w:ascii="Times New Roman" w:hAnsi="Times New Roman" w:cs="Times New Roman"/>
          <w:bCs/>
          <w:sz w:val="18"/>
          <w:szCs w:val="18"/>
        </w:rPr>
        <w:t>vs</w:t>
      </w:r>
      <w:r w:rsidRPr="00A21EFD">
        <w:rPr>
          <w:rFonts w:ascii="Times New Roman" w:hAnsi="Times New Roman" w:cs="Times New Roman"/>
          <w:bCs/>
          <w:sz w:val="18"/>
          <w:szCs w:val="18"/>
        </w:rPr>
        <w:t xml:space="preserve"> </w:t>
      </w:r>
      <w:r>
        <w:rPr>
          <w:rFonts w:ascii="Times New Roman" w:hAnsi="Times New Roman" w:cs="Times New Roman"/>
          <w:bCs/>
          <w:sz w:val="18"/>
          <w:szCs w:val="18"/>
        </w:rPr>
        <w:t>normal</w:t>
      </w:r>
      <w:r w:rsidR="00931D58">
        <w:rPr>
          <w:rFonts w:ascii="Times New Roman" w:hAnsi="Times New Roman" w:cs="Times New Roman"/>
          <w:bCs/>
          <w:sz w:val="18"/>
          <w:szCs w:val="18"/>
        </w:rPr>
        <w:t xml:space="preserve"> and deletion</w:t>
      </w:r>
      <w:r>
        <w:rPr>
          <w:rFonts w:ascii="Times New Roman" w:hAnsi="Times New Roman" w:cs="Times New Roman"/>
          <w:bCs/>
          <w:sz w:val="18"/>
          <w:szCs w:val="18"/>
        </w:rPr>
        <w:t xml:space="preserve"> copy number variation</w:t>
      </w:r>
      <w:r w:rsidRPr="00A21EFD">
        <w:rPr>
          <w:rFonts w:ascii="Times New Roman" w:hAnsi="Times New Roman" w:cs="Times New Roman"/>
          <w:bCs/>
          <w:sz w:val="18"/>
          <w:szCs w:val="18"/>
        </w:rPr>
        <w:t xml:space="preserve"> with regards to survival time.  The dotted lines display the 50% survival probability between duplicatio</w:t>
      </w:r>
      <w:r w:rsidR="00931D58">
        <w:rPr>
          <w:rFonts w:ascii="Times New Roman" w:hAnsi="Times New Roman" w:cs="Times New Roman"/>
          <w:bCs/>
          <w:sz w:val="18"/>
          <w:szCs w:val="18"/>
        </w:rPr>
        <w:t>n,</w:t>
      </w:r>
      <w:r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Pr="00A21EFD">
        <w:rPr>
          <w:rFonts w:ascii="Times New Roman" w:hAnsi="Times New Roman" w:cs="Times New Roman"/>
          <w:bCs/>
          <w:sz w:val="18"/>
          <w:szCs w:val="18"/>
        </w:rPr>
        <w:t xml:space="preserve"> copy number variation.</w:t>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6DFC2E25"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57575"/>
                    </a:xfrm>
                    <a:prstGeom prst="rect">
                      <a:avLst/>
                    </a:prstGeom>
                  </pic:spPr>
                </pic:pic>
              </a:graphicData>
            </a:graphic>
          </wp:inline>
        </w:drawing>
      </w:r>
    </w:p>
    <w:p w14:paraId="084CD8CD" w14:textId="5C05176E" w:rsidR="004E64CE" w:rsidRDefault="004E64CE" w:rsidP="004E64CE">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5</w:t>
      </w:r>
      <w:r w:rsidRPr="00A21EFD">
        <w:rPr>
          <w:rFonts w:ascii="Times New Roman" w:hAnsi="Times New Roman" w:cs="Times New Roman"/>
          <w:bCs/>
          <w:sz w:val="18"/>
          <w:szCs w:val="18"/>
        </w:rPr>
        <w:t>A</w:t>
      </w:r>
      <w:r>
        <w:rPr>
          <w:rFonts w:ascii="Times New Roman" w:hAnsi="Times New Roman" w:cs="Times New Roman"/>
          <w:bCs/>
          <w:sz w:val="18"/>
          <w:szCs w:val="18"/>
        </w:rPr>
        <w:t>3</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an increased survival probability</w:t>
      </w:r>
      <w:r w:rsidRPr="00A21EFD">
        <w:rPr>
          <w:rFonts w:ascii="Times New Roman" w:hAnsi="Times New Roman" w:cs="Times New Roman"/>
          <w:bCs/>
          <w:sz w:val="18"/>
          <w:szCs w:val="18"/>
        </w:rPr>
        <w:t xml:space="preserve"> while red illustrates deletion of copy number variation</w:t>
      </w:r>
      <w:r>
        <w:rPr>
          <w:rFonts w:ascii="Times New Roman" w:hAnsi="Times New Roman" w:cs="Times New Roman"/>
          <w:bCs/>
          <w:sz w:val="18"/>
          <w:szCs w:val="18"/>
        </w:rPr>
        <w:t xml:space="preserve"> illustrating a lower survival probability when compared to normal and duplicated copy number variation</w:t>
      </w:r>
      <w:r w:rsidRPr="00A21EFD">
        <w:rPr>
          <w:rFonts w:ascii="Times New Roman" w:hAnsi="Times New Roman" w:cs="Times New Roman"/>
          <w:bCs/>
          <w:sz w:val="18"/>
          <w:szCs w:val="18"/>
        </w:rPr>
        <w:t xml:space="preserve">.  Blue displays normal copy number </w:t>
      </w:r>
      <w:r>
        <w:rPr>
          <w:rFonts w:ascii="Times New Roman" w:hAnsi="Times New Roman" w:cs="Times New Roman"/>
          <w:bCs/>
          <w:sz w:val="18"/>
          <w:szCs w:val="18"/>
        </w:rPr>
        <w:t>variation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14</w:t>
      </w:r>
      <w:r w:rsidRPr="00A21EFD">
        <w:rPr>
          <w:rFonts w:ascii="Times New Roman" w:hAnsi="Times New Roman" w:cs="Times New Roman"/>
          <w:bCs/>
          <w:sz w:val="18"/>
          <w:szCs w:val="18"/>
        </w:rPr>
        <w:t xml:space="preserve"> demonstrates a statistically significant model when stratifying between COL</w:t>
      </w:r>
      <w:r w:rsidR="00931D58">
        <w:rPr>
          <w:rFonts w:ascii="Times New Roman" w:hAnsi="Times New Roman" w:cs="Times New Roman"/>
          <w:bCs/>
          <w:sz w:val="18"/>
          <w:szCs w:val="18"/>
        </w:rPr>
        <w:t>5</w:t>
      </w:r>
      <w:r w:rsidRPr="00A21EFD">
        <w:rPr>
          <w:rFonts w:ascii="Times New Roman" w:hAnsi="Times New Roman" w:cs="Times New Roman"/>
          <w:bCs/>
          <w:sz w:val="18"/>
          <w:szCs w:val="18"/>
        </w:rPr>
        <w:t>A</w:t>
      </w:r>
      <w:r w:rsidR="00931D58">
        <w:rPr>
          <w:rFonts w:ascii="Times New Roman" w:hAnsi="Times New Roman" w:cs="Times New Roman"/>
          <w:bCs/>
          <w:sz w:val="18"/>
          <w:szCs w:val="18"/>
        </w:rPr>
        <w:t>3</w:t>
      </w:r>
      <w:r w:rsidRPr="00A21EFD">
        <w:rPr>
          <w:rFonts w:ascii="Times New Roman" w:hAnsi="Times New Roman" w:cs="Times New Roman"/>
          <w:bCs/>
          <w:sz w:val="18"/>
          <w:szCs w:val="18"/>
        </w:rPr>
        <w:t xml:space="preserve"> d</w:t>
      </w:r>
      <w:r w:rsidR="00931D58">
        <w:rPr>
          <w:rFonts w:ascii="Times New Roman" w:hAnsi="Times New Roman" w:cs="Times New Roman"/>
          <w:bCs/>
          <w:sz w:val="18"/>
          <w:szCs w:val="18"/>
        </w:rPr>
        <w:t>eletion</w:t>
      </w:r>
      <w:r w:rsidRPr="00A21EFD">
        <w:rPr>
          <w:rFonts w:ascii="Times New Roman" w:hAnsi="Times New Roman" w:cs="Times New Roman"/>
          <w:bCs/>
          <w:sz w:val="18"/>
          <w:szCs w:val="18"/>
        </w:rPr>
        <w:t xml:space="preserve"> </w:t>
      </w:r>
      <w:r w:rsidR="00931D58">
        <w:rPr>
          <w:rFonts w:ascii="Times New Roman" w:hAnsi="Times New Roman" w:cs="Times New Roman"/>
          <w:bCs/>
          <w:sz w:val="18"/>
          <w:szCs w:val="18"/>
        </w:rPr>
        <w:t xml:space="preserve">vs </w:t>
      </w:r>
      <w:r>
        <w:rPr>
          <w:rFonts w:ascii="Times New Roman" w:hAnsi="Times New Roman" w:cs="Times New Roman"/>
          <w:bCs/>
          <w:sz w:val="18"/>
          <w:szCs w:val="18"/>
        </w:rPr>
        <w:t xml:space="preserve">normal </w:t>
      </w:r>
      <w:r w:rsidR="00931D58">
        <w:rPr>
          <w:rFonts w:ascii="Times New Roman" w:hAnsi="Times New Roman" w:cs="Times New Roman"/>
          <w:bCs/>
          <w:sz w:val="18"/>
          <w:szCs w:val="18"/>
        </w:rPr>
        <w:t xml:space="preserve">and duplicated </w:t>
      </w:r>
      <w:r>
        <w:rPr>
          <w:rFonts w:ascii="Times New Roman" w:hAnsi="Times New Roman" w:cs="Times New Roman"/>
          <w:bCs/>
          <w:sz w:val="18"/>
          <w:szCs w:val="18"/>
        </w:rPr>
        <w:t>copy number variation</w:t>
      </w:r>
      <w:r w:rsidRPr="00A21EFD">
        <w:rPr>
          <w:rFonts w:ascii="Times New Roman" w:hAnsi="Times New Roman" w:cs="Times New Roman"/>
          <w:bCs/>
          <w:sz w:val="18"/>
          <w:szCs w:val="18"/>
        </w:rPr>
        <w:t xml:space="preserve"> with regards to survival time.  </w:t>
      </w:r>
      <w:r w:rsidR="00C50F97" w:rsidRPr="00A21EFD">
        <w:rPr>
          <w:rFonts w:ascii="Times New Roman" w:hAnsi="Times New Roman" w:cs="Times New Roman"/>
          <w:bCs/>
          <w:sz w:val="18"/>
          <w:szCs w:val="18"/>
        </w:rPr>
        <w:t>The dotted lines display the 50% survival probability between duplicatio</w:t>
      </w:r>
      <w:r w:rsidR="00C50F97">
        <w:rPr>
          <w:rFonts w:ascii="Times New Roman" w:hAnsi="Times New Roman" w:cs="Times New Roman"/>
          <w:bCs/>
          <w:sz w:val="18"/>
          <w:szCs w:val="18"/>
        </w:rPr>
        <w:t>n,</w:t>
      </w:r>
      <w:r w:rsidR="00C50F97" w:rsidRPr="00A21EFD">
        <w:rPr>
          <w:rFonts w:ascii="Times New Roman" w:hAnsi="Times New Roman" w:cs="Times New Roman"/>
          <w:bCs/>
          <w:sz w:val="18"/>
          <w:szCs w:val="18"/>
        </w:rPr>
        <w:t xml:space="preserve"> deletion</w:t>
      </w:r>
      <w:r w:rsidR="00C50F97">
        <w:rPr>
          <w:rFonts w:ascii="Times New Roman" w:hAnsi="Times New Roman" w:cs="Times New Roman"/>
          <w:bCs/>
          <w:sz w:val="18"/>
          <w:szCs w:val="18"/>
        </w:rPr>
        <w:t>, and normal</w:t>
      </w:r>
      <w:r w:rsidR="00C50F97" w:rsidRPr="00A21EFD">
        <w:rPr>
          <w:rFonts w:ascii="Times New Roman" w:hAnsi="Times New Roman" w:cs="Times New Roman"/>
          <w:bCs/>
          <w:sz w:val="18"/>
          <w:szCs w:val="18"/>
        </w:rPr>
        <w:t xml:space="preserve"> copy number variation.</w:t>
      </w:r>
    </w:p>
    <w:p w14:paraId="7E8325C4" w14:textId="77777777" w:rsidR="004E64CE" w:rsidRDefault="004E64CE" w:rsidP="00646509">
      <w:pPr>
        <w:spacing w:line="360" w:lineRule="auto"/>
        <w:rPr>
          <w:rFonts w:ascii="Times New Roman" w:hAnsi="Times New Roman" w:cs="Times New Roman"/>
          <w:b/>
        </w:rPr>
      </w:pP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23C2100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COL12A1</w:t>
      </w:r>
      <w:r w:rsidRPr="00AB1DDB">
        <w:rPr>
          <w:noProof/>
        </w:rPr>
        <w:drawing>
          <wp:inline distT="0" distB="0" distL="0" distR="0" wp14:anchorId="644CEE5E" wp14:editId="65798846">
            <wp:extent cx="5685790" cy="3323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759" cy="3350747"/>
                    </a:xfrm>
                    <a:prstGeom prst="rect">
                      <a:avLst/>
                    </a:prstGeom>
                  </pic:spPr>
                </pic:pic>
              </a:graphicData>
            </a:graphic>
          </wp:inline>
        </w:drawing>
      </w:r>
    </w:p>
    <w:p w14:paraId="66ECBFF1" w14:textId="006A2C8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COL4A3BP</w:t>
      </w:r>
    </w:p>
    <w:p w14:paraId="043A022C" w14:textId="5896BCF8" w:rsidR="00AB1DDB" w:rsidRDefault="00AB1DDB" w:rsidP="00646509">
      <w:pPr>
        <w:spacing w:line="360" w:lineRule="auto"/>
        <w:rPr>
          <w:rFonts w:ascii="Times New Roman" w:hAnsi="Times New Roman" w:cs="Times New Roman"/>
          <w:b/>
          <w:sz w:val="24"/>
          <w:szCs w:val="24"/>
        </w:rPr>
      </w:pPr>
      <w:r w:rsidRPr="00AB1DDB">
        <w:rPr>
          <w:noProof/>
        </w:rPr>
        <w:drawing>
          <wp:inline distT="0" distB="0" distL="0" distR="0" wp14:anchorId="75D9C1DE" wp14:editId="40961454">
            <wp:extent cx="5685790" cy="350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99112" cy="3517232"/>
                    </a:xfrm>
                    <a:prstGeom prst="rect">
                      <a:avLst/>
                    </a:prstGeom>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612CFF8F" w14:textId="2DF9D21F" w:rsidR="00AB1DDB" w:rsidRPr="00AB1DDB" w:rsidRDefault="00AB1DDB" w:rsidP="00646509">
      <w:pPr>
        <w:spacing w:line="360" w:lineRule="auto"/>
        <w:rPr>
          <w:rFonts w:ascii="Times New Roman" w:hAnsi="Times New Roman" w:cs="Times New Roman"/>
          <w:bCs/>
          <w:sz w:val="24"/>
          <w:szCs w:val="24"/>
        </w:rPr>
      </w:pPr>
      <w:r w:rsidRPr="00AB1DDB">
        <w:rPr>
          <w:noProof/>
        </w:rPr>
        <w:drawing>
          <wp:inline distT="0" distB="0" distL="0" distR="0" wp14:anchorId="63FEB492" wp14:editId="03B3E44C">
            <wp:extent cx="5705475" cy="3521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4628" cy="3532895"/>
                    </a:xfrm>
                    <a:prstGeom prst="rect">
                      <a:avLst/>
                    </a:prstGeom>
                  </pic:spPr>
                </pic:pic>
              </a:graphicData>
            </a:graphic>
          </wp:inline>
        </w:drawing>
      </w:r>
    </w:p>
    <w:sectPr w:rsidR="00AB1DDB" w:rsidRPr="00AB1DDB">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2E96B" w14:textId="77777777" w:rsidR="00180782" w:rsidRDefault="00180782">
      <w:pPr>
        <w:spacing w:after="0" w:line="240" w:lineRule="auto"/>
      </w:pPr>
      <w:r>
        <w:separator/>
      </w:r>
    </w:p>
  </w:endnote>
  <w:endnote w:type="continuationSeparator" w:id="0">
    <w:p w14:paraId="796628FE" w14:textId="77777777" w:rsidR="00180782" w:rsidRDefault="00180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2558824"/>
      <w:docPartObj>
        <w:docPartGallery w:val="AutoText"/>
      </w:docPartObj>
    </w:sdtPr>
    <w:sdtContent>
      <w:p w14:paraId="0D87FC95" w14:textId="77777777" w:rsidR="00563FD4" w:rsidRDefault="00563FD4">
        <w:pPr>
          <w:pStyle w:val="Footer"/>
          <w:jc w:val="center"/>
        </w:pPr>
        <w:r>
          <w:fldChar w:fldCharType="begin"/>
        </w:r>
        <w:r>
          <w:instrText xml:space="preserve"> PAGE   \* MERGEFORMAT </w:instrText>
        </w:r>
        <w:r>
          <w:fldChar w:fldCharType="separate"/>
        </w:r>
        <w:r>
          <w:t>1</w:t>
        </w:r>
        <w:r>
          <w:fldChar w:fldCharType="end"/>
        </w:r>
      </w:p>
    </w:sdtContent>
  </w:sdt>
  <w:p w14:paraId="34F186A5" w14:textId="77777777" w:rsidR="00563FD4" w:rsidRDefault="00563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C3520" w14:textId="77777777" w:rsidR="00180782" w:rsidRDefault="00180782">
      <w:pPr>
        <w:spacing w:after="0" w:line="240" w:lineRule="auto"/>
      </w:pPr>
      <w:r>
        <w:separator/>
      </w:r>
    </w:p>
  </w:footnote>
  <w:footnote w:type="continuationSeparator" w:id="0">
    <w:p w14:paraId="229CE732" w14:textId="77777777" w:rsidR="00180782" w:rsidRDefault="00180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A3C88" w14:textId="186BC5CF" w:rsidR="00563FD4" w:rsidRDefault="00563FD4" w:rsidP="00976CD3">
    <w:pPr>
      <w:spacing w:after="0" w:line="276" w:lineRule="auto"/>
      <w:rPr>
        <w:rFonts w:ascii="Times New Roman" w:hAnsi="Times New Roman" w:cs="Times New Roman"/>
        <w:b/>
        <w:sz w:val="24"/>
        <w:szCs w:val="24"/>
      </w:rPr>
    </w:pPr>
    <w:r>
      <w:rPr>
        <w:rFonts w:ascii="Times New Roman" w:hAnsi="Times New Roman" w:cs="Times New Roman"/>
        <w:b/>
        <w:sz w:val="24"/>
        <w:szCs w:val="24"/>
      </w:rPr>
      <w:t>Robert Hodges, PharmD, MBA, RPh</w:t>
    </w:r>
  </w:p>
  <w:p w14:paraId="4381A7DA" w14:textId="77777777" w:rsidR="00563FD4" w:rsidRPr="00D15DD8" w:rsidRDefault="00563FD4" w:rsidP="00976CD3">
    <w:pPr>
      <w:spacing w:after="0" w:line="276" w:lineRule="auto"/>
      <w:rPr>
        <w:rFonts w:ascii="Times New Roman" w:hAnsi="Times New Roman" w:cs="Times New Roman"/>
        <w:b/>
        <w:sz w:val="24"/>
        <w:szCs w:val="24"/>
      </w:rPr>
    </w:pPr>
    <w:r w:rsidRPr="00D15DD8">
      <w:rPr>
        <w:rFonts w:ascii="Times New Roman" w:hAnsi="Times New Roman" w:cs="Times New Roman"/>
        <w:b/>
        <w:sz w:val="24"/>
        <w:szCs w:val="24"/>
      </w:rPr>
      <w:t>Pan-Collagen CNV Survival Analysis in Ovarian Cancer from TCGA Database</w:t>
    </w:r>
  </w:p>
  <w:p w14:paraId="5DAFFCCA" w14:textId="77777777" w:rsidR="00563FD4" w:rsidRDefault="00563FD4" w:rsidP="00976CD3">
    <w:pPr>
      <w:spacing w:after="0" w:line="276" w:lineRule="auto"/>
      <w:rPr>
        <w:rFonts w:ascii="Times New Roman" w:hAnsi="Times New Roman" w:cs="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12169"/>
    <w:rsid w:val="00012CD1"/>
    <w:rsid w:val="00017455"/>
    <w:rsid w:val="000239BE"/>
    <w:rsid w:val="000329B2"/>
    <w:rsid w:val="00037C80"/>
    <w:rsid w:val="00041F48"/>
    <w:rsid w:val="00050ED1"/>
    <w:rsid w:val="00052110"/>
    <w:rsid w:val="00054D97"/>
    <w:rsid w:val="000554B6"/>
    <w:rsid w:val="00097473"/>
    <w:rsid w:val="000A0E55"/>
    <w:rsid w:val="000A2206"/>
    <w:rsid w:val="000C008D"/>
    <w:rsid w:val="000C0C84"/>
    <w:rsid w:val="000C0DB5"/>
    <w:rsid w:val="000C1B63"/>
    <w:rsid w:val="000C2097"/>
    <w:rsid w:val="000C68DA"/>
    <w:rsid w:val="000C714D"/>
    <w:rsid w:val="000D3FF7"/>
    <w:rsid w:val="000E3D65"/>
    <w:rsid w:val="001111FB"/>
    <w:rsid w:val="00113DB7"/>
    <w:rsid w:val="00114ACF"/>
    <w:rsid w:val="001179BF"/>
    <w:rsid w:val="0012251A"/>
    <w:rsid w:val="001302D8"/>
    <w:rsid w:val="001420A4"/>
    <w:rsid w:val="00145B1C"/>
    <w:rsid w:val="00162857"/>
    <w:rsid w:val="00165147"/>
    <w:rsid w:val="00170BA5"/>
    <w:rsid w:val="00180782"/>
    <w:rsid w:val="00186137"/>
    <w:rsid w:val="001915F3"/>
    <w:rsid w:val="001B01D4"/>
    <w:rsid w:val="001B3443"/>
    <w:rsid w:val="001C08C5"/>
    <w:rsid w:val="001D344F"/>
    <w:rsid w:val="001E0DB5"/>
    <w:rsid w:val="001E139E"/>
    <w:rsid w:val="001F0D31"/>
    <w:rsid w:val="001F36AE"/>
    <w:rsid w:val="001F577B"/>
    <w:rsid w:val="00206D0B"/>
    <w:rsid w:val="00207662"/>
    <w:rsid w:val="00207CA8"/>
    <w:rsid w:val="00211DE1"/>
    <w:rsid w:val="002552A3"/>
    <w:rsid w:val="00255EFB"/>
    <w:rsid w:val="00284592"/>
    <w:rsid w:val="00287EB2"/>
    <w:rsid w:val="0029659B"/>
    <w:rsid w:val="00296722"/>
    <w:rsid w:val="002C247C"/>
    <w:rsid w:val="002E24DD"/>
    <w:rsid w:val="002F6C9B"/>
    <w:rsid w:val="00302CDB"/>
    <w:rsid w:val="00311D2F"/>
    <w:rsid w:val="00316DAE"/>
    <w:rsid w:val="003362D4"/>
    <w:rsid w:val="00336DAA"/>
    <w:rsid w:val="003409FF"/>
    <w:rsid w:val="00344602"/>
    <w:rsid w:val="0035181F"/>
    <w:rsid w:val="003658B5"/>
    <w:rsid w:val="003674A8"/>
    <w:rsid w:val="00374EAA"/>
    <w:rsid w:val="0038070F"/>
    <w:rsid w:val="003844DD"/>
    <w:rsid w:val="0038778F"/>
    <w:rsid w:val="003F1A23"/>
    <w:rsid w:val="00423318"/>
    <w:rsid w:val="0043385D"/>
    <w:rsid w:val="0044024C"/>
    <w:rsid w:val="00441C3E"/>
    <w:rsid w:val="004475D4"/>
    <w:rsid w:val="00453067"/>
    <w:rsid w:val="004641FC"/>
    <w:rsid w:val="00472977"/>
    <w:rsid w:val="00473E6F"/>
    <w:rsid w:val="00474505"/>
    <w:rsid w:val="00474930"/>
    <w:rsid w:val="004777B6"/>
    <w:rsid w:val="004816AD"/>
    <w:rsid w:val="00490D82"/>
    <w:rsid w:val="0049486C"/>
    <w:rsid w:val="004A383C"/>
    <w:rsid w:val="004C162B"/>
    <w:rsid w:val="004C5BBF"/>
    <w:rsid w:val="004D19DB"/>
    <w:rsid w:val="004E5A3C"/>
    <w:rsid w:val="004E64CE"/>
    <w:rsid w:val="004E6CF0"/>
    <w:rsid w:val="004E6E7C"/>
    <w:rsid w:val="004E7228"/>
    <w:rsid w:val="005121E3"/>
    <w:rsid w:val="00513071"/>
    <w:rsid w:val="005158FB"/>
    <w:rsid w:val="00524DB1"/>
    <w:rsid w:val="00532AAE"/>
    <w:rsid w:val="005349C4"/>
    <w:rsid w:val="00537A5B"/>
    <w:rsid w:val="00563FD4"/>
    <w:rsid w:val="00566998"/>
    <w:rsid w:val="00577CF0"/>
    <w:rsid w:val="00590C65"/>
    <w:rsid w:val="00591481"/>
    <w:rsid w:val="0059667D"/>
    <w:rsid w:val="005A0F14"/>
    <w:rsid w:val="005A5DC7"/>
    <w:rsid w:val="005B001B"/>
    <w:rsid w:val="005B79A1"/>
    <w:rsid w:val="005C0DC1"/>
    <w:rsid w:val="005D6ADA"/>
    <w:rsid w:val="005D6E04"/>
    <w:rsid w:val="005F6C22"/>
    <w:rsid w:val="0060078F"/>
    <w:rsid w:val="0060175D"/>
    <w:rsid w:val="00601FD0"/>
    <w:rsid w:val="006315FB"/>
    <w:rsid w:val="006419F9"/>
    <w:rsid w:val="00646509"/>
    <w:rsid w:val="00662AED"/>
    <w:rsid w:val="00662C7A"/>
    <w:rsid w:val="006717C3"/>
    <w:rsid w:val="00673F74"/>
    <w:rsid w:val="006801C0"/>
    <w:rsid w:val="006847FC"/>
    <w:rsid w:val="006A2F30"/>
    <w:rsid w:val="006B4311"/>
    <w:rsid w:val="006E298F"/>
    <w:rsid w:val="006E5940"/>
    <w:rsid w:val="006E662F"/>
    <w:rsid w:val="006F1B9E"/>
    <w:rsid w:val="0072249B"/>
    <w:rsid w:val="00726638"/>
    <w:rsid w:val="00730FF1"/>
    <w:rsid w:val="00735AB7"/>
    <w:rsid w:val="00743169"/>
    <w:rsid w:val="00747B96"/>
    <w:rsid w:val="0075229D"/>
    <w:rsid w:val="0076040C"/>
    <w:rsid w:val="00772B68"/>
    <w:rsid w:val="007736F4"/>
    <w:rsid w:val="007A5607"/>
    <w:rsid w:val="007B68BB"/>
    <w:rsid w:val="00810084"/>
    <w:rsid w:val="00810758"/>
    <w:rsid w:val="00812136"/>
    <w:rsid w:val="0082021C"/>
    <w:rsid w:val="00837310"/>
    <w:rsid w:val="00840DAD"/>
    <w:rsid w:val="008533EA"/>
    <w:rsid w:val="00856018"/>
    <w:rsid w:val="008655FF"/>
    <w:rsid w:val="00866F3C"/>
    <w:rsid w:val="0088044C"/>
    <w:rsid w:val="00880964"/>
    <w:rsid w:val="00884D34"/>
    <w:rsid w:val="00886C0A"/>
    <w:rsid w:val="008A3B34"/>
    <w:rsid w:val="008B3368"/>
    <w:rsid w:val="008C186F"/>
    <w:rsid w:val="008C25A6"/>
    <w:rsid w:val="008D369B"/>
    <w:rsid w:val="0091483D"/>
    <w:rsid w:val="00924BEE"/>
    <w:rsid w:val="009255AA"/>
    <w:rsid w:val="009258F2"/>
    <w:rsid w:val="00930374"/>
    <w:rsid w:val="009305A2"/>
    <w:rsid w:val="00931D58"/>
    <w:rsid w:val="00933700"/>
    <w:rsid w:val="00957054"/>
    <w:rsid w:val="00960894"/>
    <w:rsid w:val="0096124A"/>
    <w:rsid w:val="009708AA"/>
    <w:rsid w:val="00972656"/>
    <w:rsid w:val="00976CD3"/>
    <w:rsid w:val="00977210"/>
    <w:rsid w:val="00981D37"/>
    <w:rsid w:val="009912C4"/>
    <w:rsid w:val="009A1A53"/>
    <w:rsid w:val="009A714D"/>
    <w:rsid w:val="009B5D59"/>
    <w:rsid w:val="009B5DE4"/>
    <w:rsid w:val="009B6B49"/>
    <w:rsid w:val="009B74C6"/>
    <w:rsid w:val="009E0E71"/>
    <w:rsid w:val="009E5163"/>
    <w:rsid w:val="009E7D8D"/>
    <w:rsid w:val="009F0C82"/>
    <w:rsid w:val="00A10174"/>
    <w:rsid w:val="00A14C69"/>
    <w:rsid w:val="00A21D8E"/>
    <w:rsid w:val="00A21EFD"/>
    <w:rsid w:val="00A2265F"/>
    <w:rsid w:val="00A33FB0"/>
    <w:rsid w:val="00A369B7"/>
    <w:rsid w:val="00A36DDA"/>
    <w:rsid w:val="00A61294"/>
    <w:rsid w:val="00A62A0E"/>
    <w:rsid w:val="00A71B3C"/>
    <w:rsid w:val="00A746B9"/>
    <w:rsid w:val="00A871FB"/>
    <w:rsid w:val="00A90BE9"/>
    <w:rsid w:val="00A95F11"/>
    <w:rsid w:val="00AA391E"/>
    <w:rsid w:val="00AB1DDB"/>
    <w:rsid w:val="00AB3DF5"/>
    <w:rsid w:val="00AB5461"/>
    <w:rsid w:val="00AB7403"/>
    <w:rsid w:val="00AB7ECA"/>
    <w:rsid w:val="00AC26F9"/>
    <w:rsid w:val="00AC3ED5"/>
    <w:rsid w:val="00AC54A7"/>
    <w:rsid w:val="00B34ED4"/>
    <w:rsid w:val="00B376CC"/>
    <w:rsid w:val="00B43D26"/>
    <w:rsid w:val="00B55A33"/>
    <w:rsid w:val="00B61E39"/>
    <w:rsid w:val="00B746C9"/>
    <w:rsid w:val="00B74EE2"/>
    <w:rsid w:val="00B84F94"/>
    <w:rsid w:val="00B92617"/>
    <w:rsid w:val="00B92CE8"/>
    <w:rsid w:val="00B9726D"/>
    <w:rsid w:val="00B977FD"/>
    <w:rsid w:val="00BA31EF"/>
    <w:rsid w:val="00BB1135"/>
    <w:rsid w:val="00BB4217"/>
    <w:rsid w:val="00BB5DAE"/>
    <w:rsid w:val="00BB66CC"/>
    <w:rsid w:val="00BD1E76"/>
    <w:rsid w:val="00C02A09"/>
    <w:rsid w:val="00C03213"/>
    <w:rsid w:val="00C11A9E"/>
    <w:rsid w:val="00C242E2"/>
    <w:rsid w:val="00C254D4"/>
    <w:rsid w:val="00C26BC8"/>
    <w:rsid w:val="00C33B9F"/>
    <w:rsid w:val="00C37A89"/>
    <w:rsid w:val="00C4447A"/>
    <w:rsid w:val="00C50F97"/>
    <w:rsid w:val="00C51CF1"/>
    <w:rsid w:val="00C60BC0"/>
    <w:rsid w:val="00C774A9"/>
    <w:rsid w:val="00C80391"/>
    <w:rsid w:val="00C856F0"/>
    <w:rsid w:val="00C9348A"/>
    <w:rsid w:val="00C9619C"/>
    <w:rsid w:val="00CB21E5"/>
    <w:rsid w:val="00CB410F"/>
    <w:rsid w:val="00CB4D38"/>
    <w:rsid w:val="00CB58A2"/>
    <w:rsid w:val="00CC28ED"/>
    <w:rsid w:val="00CE4770"/>
    <w:rsid w:val="00D06718"/>
    <w:rsid w:val="00D107DF"/>
    <w:rsid w:val="00D15DD8"/>
    <w:rsid w:val="00D53088"/>
    <w:rsid w:val="00D55EAD"/>
    <w:rsid w:val="00D633D6"/>
    <w:rsid w:val="00D6461F"/>
    <w:rsid w:val="00D66AD5"/>
    <w:rsid w:val="00D71307"/>
    <w:rsid w:val="00D84741"/>
    <w:rsid w:val="00DA621F"/>
    <w:rsid w:val="00DC75C0"/>
    <w:rsid w:val="00DE0C57"/>
    <w:rsid w:val="00DF0C11"/>
    <w:rsid w:val="00DF1765"/>
    <w:rsid w:val="00E20001"/>
    <w:rsid w:val="00E31F6B"/>
    <w:rsid w:val="00E34DD9"/>
    <w:rsid w:val="00E432B5"/>
    <w:rsid w:val="00E60AC5"/>
    <w:rsid w:val="00E66CCC"/>
    <w:rsid w:val="00E67B80"/>
    <w:rsid w:val="00E76D97"/>
    <w:rsid w:val="00E821D9"/>
    <w:rsid w:val="00E84B83"/>
    <w:rsid w:val="00EA46C1"/>
    <w:rsid w:val="00EA5062"/>
    <w:rsid w:val="00EB662E"/>
    <w:rsid w:val="00EC0317"/>
    <w:rsid w:val="00EC4750"/>
    <w:rsid w:val="00EC4BAD"/>
    <w:rsid w:val="00EC50B5"/>
    <w:rsid w:val="00ED7E78"/>
    <w:rsid w:val="00EE5185"/>
    <w:rsid w:val="00EF05EA"/>
    <w:rsid w:val="00EF6C7E"/>
    <w:rsid w:val="00EF6FCF"/>
    <w:rsid w:val="00F131F6"/>
    <w:rsid w:val="00F20F79"/>
    <w:rsid w:val="00F332AB"/>
    <w:rsid w:val="00F34406"/>
    <w:rsid w:val="00F356FB"/>
    <w:rsid w:val="00F3755C"/>
    <w:rsid w:val="00F508CD"/>
    <w:rsid w:val="00F52C81"/>
    <w:rsid w:val="00F53124"/>
    <w:rsid w:val="00F56EB9"/>
    <w:rsid w:val="00F576D9"/>
    <w:rsid w:val="00F707A6"/>
    <w:rsid w:val="00F71F70"/>
    <w:rsid w:val="00F84ECF"/>
    <w:rsid w:val="00F8518F"/>
    <w:rsid w:val="00F90B35"/>
    <w:rsid w:val="00F915A6"/>
    <w:rsid w:val="00F933E1"/>
    <w:rsid w:val="00F93ED0"/>
    <w:rsid w:val="00FA0C02"/>
    <w:rsid w:val="00FA53EC"/>
    <w:rsid w:val="00FA7341"/>
    <w:rsid w:val="00FB1082"/>
    <w:rsid w:val="00FB6C19"/>
    <w:rsid w:val="00FC6763"/>
    <w:rsid w:val="00FC6F37"/>
    <w:rsid w:val="00FD2E82"/>
    <w:rsid w:val="00FD34CC"/>
    <w:rsid w:val="00FD6FA2"/>
    <w:rsid w:val="00FD7628"/>
    <w:rsid w:val="00FE2AF3"/>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14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31972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446">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15711765">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
      </w:divsChild>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39243683">
      <w:bodyDiv w:val="1"/>
      <w:marLeft w:val="0"/>
      <w:marRight w:val="0"/>
      <w:marTop w:val="0"/>
      <w:marBottom w:val="0"/>
      <w:divBdr>
        <w:top w:val="none" w:sz="0" w:space="0" w:color="auto"/>
        <w:left w:val="none" w:sz="0" w:space="0" w:color="auto"/>
        <w:bottom w:val="none" w:sz="0" w:space="0" w:color="auto"/>
        <w:right w:val="none" w:sz="0" w:space="0" w:color="auto"/>
      </w:divBdr>
      <w:divsChild>
        <w:div w:id="200436335">
          <w:marLeft w:val="0"/>
          <w:marRight w:val="0"/>
          <w:marTop w:val="0"/>
          <w:marBottom w:val="0"/>
          <w:divBdr>
            <w:top w:val="none" w:sz="0" w:space="0" w:color="auto"/>
            <w:left w:val="none" w:sz="0" w:space="0" w:color="auto"/>
            <w:bottom w:val="none" w:sz="0" w:space="0" w:color="auto"/>
            <w:right w:val="none" w:sz="0" w:space="0" w:color="auto"/>
          </w:divBdr>
        </w:div>
      </w:divsChild>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585526035">
      <w:bodyDiv w:val="1"/>
      <w:marLeft w:val="0"/>
      <w:marRight w:val="0"/>
      <w:marTop w:val="0"/>
      <w:marBottom w:val="0"/>
      <w:divBdr>
        <w:top w:val="none" w:sz="0" w:space="0" w:color="auto"/>
        <w:left w:val="none" w:sz="0" w:space="0" w:color="auto"/>
        <w:bottom w:val="none" w:sz="0" w:space="0" w:color="auto"/>
        <w:right w:val="none" w:sz="0" w:space="0" w:color="auto"/>
      </w:divBdr>
      <w:divsChild>
        <w:div w:id="291012489">
          <w:marLeft w:val="0"/>
          <w:marRight w:val="0"/>
          <w:marTop w:val="0"/>
          <w:marBottom w:val="0"/>
          <w:divBdr>
            <w:top w:val="none" w:sz="0" w:space="0" w:color="auto"/>
            <w:left w:val="none" w:sz="0" w:space="0" w:color="auto"/>
            <w:bottom w:val="none" w:sz="0" w:space="0" w:color="auto"/>
            <w:right w:val="none" w:sz="0" w:space="0" w:color="auto"/>
          </w:divBdr>
        </w:div>
      </w:divsChild>
    </w:div>
    <w:div w:id="1595825329">
      <w:bodyDiv w:val="1"/>
      <w:marLeft w:val="0"/>
      <w:marRight w:val="0"/>
      <w:marTop w:val="0"/>
      <w:marBottom w:val="0"/>
      <w:divBdr>
        <w:top w:val="none" w:sz="0" w:space="0" w:color="auto"/>
        <w:left w:val="none" w:sz="0" w:space="0" w:color="auto"/>
        <w:bottom w:val="none" w:sz="0" w:space="0" w:color="auto"/>
        <w:right w:val="none" w:sz="0" w:space="0" w:color="auto"/>
      </w:divBdr>
      <w:divsChild>
        <w:div w:id="235281713">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913159577">
      <w:bodyDiv w:val="1"/>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ijc.29815" TargetMode="External"/><Relationship Id="rId18" Type="http://schemas.openxmlformats.org/officeDocument/2006/relationships/hyperlink" Target="https://doi.org/10.1016/j.cell.2018.02.052" TargetMode="External"/><Relationship Id="rId26" Type="http://schemas.openxmlformats.org/officeDocument/2006/relationships/hyperlink" Target="https://doi.org/10.1038/nm.3801" TargetMode="External"/><Relationship Id="rId39" Type="http://schemas.openxmlformats.org/officeDocument/2006/relationships/image" Target="media/image11.png"/><Relationship Id="rId21" Type="http://schemas.openxmlformats.org/officeDocument/2006/relationships/hyperlink" Target="http://Www.Cancer.Gov"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https://doi.org/10.7150/jca.15371" TargetMode="External"/><Relationship Id="rId20" Type="http://schemas.openxmlformats.org/officeDocument/2006/relationships/hyperlink" Target="https://doi.org/10.1186/s12859-016%091255-7" TargetMode="External"/><Relationship Id="rId29" Type="http://schemas.openxmlformats.org/officeDocument/2006/relationships/image" Target="media/image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314/aipm.v6i1.64038" TargetMode="External"/><Relationship Id="rId24" Type="http://schemas.openxmlformats.org/officeDocument/2006/relationships/hyperlink" Target="https://www.cancer.gov/about-nci/organization/ccg/research/structural-genomics/tcga"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nome.gov/human-genome" TargetMode="External"/><Relationship Id="rId23" Type="http://schemas.openxmlformats.org/officeDocument/2006/relationships/hyperlink" Target="https://doi.org/10.1038/bjc.2013.687" TargetMode="External"/><Relationship Id="rId28" Type="http://schemas.openxmlformats.org/officeDocument/2006/relationships/hyperlink" Target="https://doi.org/10.1038/onc.2013.307" TargetMode="External"/><Relationship Id="rId36" Type="http://schemas.openxmlformats.org/officeDocument/2006/relationships/image" Target="media/image8.png"/><Relationship Id="rId10" Type="http://schemas.openxmlformats.org/officeDocument/2006/relationships/hyperlink" Target="https://doi.org/10.1158/1078-0432.ccr-13-1256" TargetMode="External"/><Relationship Id="rId19" Type="http://schemas.openxmlformats.org/officeDocument/2006/relationships/hyperlink" Target="https://doi.org/10.1055/s-2006-948556"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cancer.org/cancer/ovarian-cancer/detection-diagnosis-staging/survival-rates.html" TargetMode="External"/><Relationship Id="rId14" Type="http://schemas.openxmlformats.org/officeDocument/2006/relationships/hyperlink" Target="https://ghr.nlm.nih.gov/primer/basics/gene" TargetMode="External"/><Relationship Id="rId22" Type="http://schemas.openxmlformats.org/officeDocument/2006/relationships/hyperlink" Target="https://www.cancer.gov/about-nci/organization/ccg/research/structural" TargetMode="External"/><Relationship Id="rId27" Type="http://schemas.openxmlformats.org/officeDocument/2006/relationships/hyperlink" Target="https://www.broadinstitute.org/blog/opinionome-can-dna"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theme" Target="theme/theme1.xml"/><Relationship Id="rId8" Type="http://schemas.openxmlformats.org/officeDocument/2006/relationships/hyperlink" Target="https://doi.org/10.1186/s12864-017-3770-y" TargetMode="External"/><Relationship Id="rId3" Type="http://schemas.openxmlformats.org/officeDocument/2006/relationships/styles" Target="styles.xml"/><Relationship Id="rId12" Type="http://schemas.openxmlformats.org/officeDocument/2006/relationships/hyperlink" Target="https://doi.org/10.1093/bib/bbs046" TargetMode="External"/><Relationship Id="rId17" Type="http://schemas.openxmlformats.org/officeDocument/2006/relationships/hyperlink" Target="https://doi.org/10.1186/s13059-018-1578-y" TargetMode="External"/><Relationship Id="rId25" Type="http://schemas.openxmlformats.org/officeDocument/2006/relationships/hyperlink" Target="https://www.cancer.gov/about-nci/organization/ccg/research/structural-genomics/tcga/publications" TargetMode="External"/><Relationship Id="rId33" Type="http://schemas.openxmlformats.org/officeDocument/2006/relationships/image" Target="media/image5.png"/><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21</Pages>
  <Words>4049</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rihodges</cp:lastModifiedBy>
  <cp:revision>268</cp:revision>
  <dcterms:created xsi:type="dcterms:W3CDTF">2017-10-31T14:25:00Z</dcterms:created>
  <dcterms:modified xsi:type="dcterms:W3CDTF">2020-07-29T19:52:00Z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