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26FC" w14:textId="2F8D001D" w:rsidR="00EB1DDC" w:rsidRDefault="00081167" w:rsidP="004654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EB1DDC">
        <w:rPr>
          <w:rFonts w:ascii="Times New Roman" w:hAnsi="Times New Roman" w:cs="Times New Roman"/>
          <w:b/>
          <w:bCs/>
          <w:sz w:val="24"/>
          <w:szCs w:val="24"/>
        </w:rPr>
        <w:t>UTICA COLLEGE</w:t>
      </w:r>
    </w:p>
    <w:p w14:paraId="2353BB3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GRADUATE STUDIES</w:t>
      </w:r>
    </w:p>
    <w:p w14:paraId="270F998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77777777" w:rsidR="00EB1DDC" w:rsidRPr="00EB1DDC" w:rsidRDefault="00EB1DDC" w:rsidP="00EB1DDC">
      <w:pPr>
        <w:jc w:val="center"/>
        <w:rPr>
          <w:rFonts w:ascii="Times New Roman" w:hAnsi="Times New Roman" w:cs="Times New Roman"/>
          <w:sz w:val="24"/>
          <w:szCs w:val="24"/>
        </w:rPr>
      </w:pPr>
      <w:r w:rsidRPr="00EB1DDC">
        <w:rPr>
          <w:rFonts w:ascii="Times New Roman" w:hAnsi="Times New Roman" w:cs="Times New Roman"/>
          <w:sz w:val="24"/>
          <w:szCs w:val="24"/>
        </w:rPr>
        <w:t>MSDS 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5EC17A4C"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 of Science</w:t>
      </w:r>
      <w:r w:rsidR="00EB1DDC">
        <w:rPr>
          <w:rFonts w:ascii="Times New Roman" w:hAnsi="Times New Roman" w:cs="Times New Roman"/>
          <w:sz w:val="24"/>
          <w:szCs w:val="24"/>
        </w:rPr>
        <w:t xml:space="preserve"> in Data Science</w:t>
      </w:r>
    </w:p>
    <w:p w14:paraId="3F7DA2C8" w14:textId="55573815" w:rsidR="00F60FF8" w:rsidRDefault="00B91993" w:rsidP="00EB1DDC">
      <w:pPr>
        <w:jc w:val="center"/>
        <w:rPr>
          <w:rFonts w:ascii="Times New Roman" w:hAnsi="Times New Roman" w:cs="Times New Roman"/>
          <w:sz w:val="24"/>
          <w:szCs w:val="24"/>
        </w:rPr>
      </w:pPr>
      <w:r>
        <w:rPr>
          <w:rFonts w:ascii="Times New Roman" w:hAnsi="Times New Roman" w:cs="Times New Roman"/>
          <w:sz w:val="24"/>
          <w:szCs w:val="24"/>
        </w:rPr>
        <w:t>August</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38CA3187" w14:textId="0C6EFFCC" w:rsidR="00F60FF8" w:rsidRDefault="00F60FF8">
      <w:pPr>
        <w:rPr>
          <w:rFonts w:ascii="Times New Roman" w:hAnsi="Times New Roman" w:cs="Times New Roman"/>
          <w:sz w:val="24"/>
          <w:szCs w:val="24"/>
        </w:rPr>
      </w:pPr>
      <w:r>
        <w:rPr>
          <w:rFonts w:ascii="Times New Roman" w:hAnsi="Times New Roman" w:cs="Times New Roman"/>
          <w:sz w:val="24"/>
          <w:szCs w:val="24"/>
        </w:rPr>
        <w:br w:type="page"/>
      </w:r>
    </w:p>
    <w:p w14:paraId="5D688F49" w14:textId="18B0BCB1"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4840F9DC"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data scientist friend, Hansen Grider, for also guiding me on various data science issues and topics I have run across which has kept me on course.  His friendship and knowledge have been truly significant.</w:t>
      </w:r>
    </w:p>
    <w:p w14:paraId="7FBE40D7" w14:textId="4501ECEF" w:rsidR="00576072"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041B8F4F" w14:textId="0F87F825"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1199">
        <w:rPr>
          <w:rFonts w:ascii="Times New Roman" w:hAnsi="Times New Roman" w:cs="Times New Roman"/>
          <w:sz w:val="24"/>
          <w:szCs w:val="24"/>
        </w:rPr>
        <w:t>Most importantly I</w:t>
      </w:r>
      <w:r>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09B42A5C"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3</w:t>
      </w:r>
    </w:p>
    <w:p w14:paraId="68BE9292" w14:textId="5A683A43"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4</w:t>
      </w:r>
    </w:p>
    <w:p w14:paraId="4EF75471" w14:textId="63D7EFC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7E506D">
        <w:rPr>
          <w:rFonts w:ascii="Times New Roman" w:hAnsi="Times New Roman" w:cs="Times New Roman"/>
          <w:sz w:val="24"/>
          <w:szCs w:val="24"/>
        </w:rPr>
        <w:t>0</w:t>
      </w:r>
    </w:p>
    <w:p w14:paraId="5540C869" w14:textId="0A390016"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7E506D">
        <w:rPr>
          <w:rFonts w:ascii="Times New Roman" w:hAnsi="Times New Roman" w:cs="Times New Roman"/>
          <w:sz w:val="24"/>
          <w:szCs w:val="24"/>
        </w:rPr>
        <w:t>2</w:t>
      </w:r>
    </w:p>
    <w:p w14:paraId="0FACD028" w14:textId="757F1B0B"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E506D">
        <w:rPr>
          <w:rFonts w:ascii="Times New Roman" w:hAnsi="Times New Roman" w:cs="Times New Roman"/>
          <w:sz w:val="24"/>
          <w:szCs w:val="24"/>
        </w:rPr>
        <w:t>15</w:t>
      </w:r>
    </w:p>
    <w:p w14:paraId="42F15F01" w14:textId="5595AC02"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7050A8">
        <w:rPr>
          <w:rFonts w:ascii="Times New Roman" w:hAnsi="Times New Roman" w:cs="Times New Roman"/>
          <w:sz w:val="24"/>
          <w:szCs w:val="24"/>
        </w:rPr>
        <w:t>19</w:t>
      </w:r>
    </w:p>
    <w:p w14:paraId="4EE36D8D" w14:textId="39F6416B"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F54E18">
        <w:rPr>
          <w:rFonts w:ascii="Times New Roman" w:hAnsi="Times New Roman" w:cs="Times New Roman"/>
          <w:sz w:val="24"/>
          <w:szCs w:val="24"/>
        </w:rPr>
        <w:t>24</w:t>
      </w:r>
    </w:p>
    <w:p w14:paraId="2B82C944" w14:textId="2D6466F3"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F54E18">
        <w:rPr>
          <w:rFonts w:ascii="Times New Roman" w:hAnsi="Times New Roman" w:cs="Times New Roman"/>
          <w:sz w:val="24"/>
          <w:szCs w:val="24"/>
        </w:rPr>
        <w:t>24</w:t>
      </w:r>
    </w:p>
    <w:p w14:paraId="07F5866D" w14:textId="74ADBC6A"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F54E18">
        <w:rPr>
          <w:rFonts w:ascii="Times New Roman" w:hAnsi="Times New Roman" w:cs="Times New Roman"/>
          <w:sz w:val="24"/>
          <w:szCs w:val="24"/>
        </w:rPr>
        <w:t>26</w:t>
      </w:r>
    </w:p>
    <w:p w14:paraId="5FC6260A" w14:textId="65DD6F99"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F54E18">
        <w:rPr>
          <w:rFonts w:ascii="Times New Roman" w:hAnsi="Times New Roman" w:cs="Times New Roman"/>
          <w:sz w:val="24"/>
          <w:szCs w:val="24"/>
        </w:rPr>
        <w:t>29</w:t>
      </w:r>
    </w:p>
    <w:p w14:paraId="4493648C" w14:textId="0E2A8AC3"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A74939">
        <w:rPr>
          <w:rFonts w:ascii="Times New Roman" w:hAnsi="Times New Roman" w:cs="Times New Roman"/>
          <w:sz w:val="24"/>
          <w:szCs w:val="24"/>
        </w:rPr>
        <w:t>3</w:t>
      </w:r>
      <w:r w:rsidR="00F54E18">
        <w:rPr>
          <w:rFonts w:ascii="Times New Roman" w:hAnsi="Times New Roman" w:cs="Times New Roman"/>
          <w:sz w:val="24"/>
          <w:szCs w:val="24"/>
        </w:rPr>
        <w:t>1</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7CC39188"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44024C" w:rsidRPr="00D15DD8">
        <w:rPr>
          <w:rFonts w:ascii="Times New Roman" w:eastAsia="Times New Roman" w:hAnsi="Times New Roman" w:cs="Times New Roman"/>
          <w:color w:val="000000"/>
          <w:sz w:val="24"/>
          <w:szCs w:val="24"/>
        </w:rPr>
        <w:t xml:space="preserve"> (</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log-rank tests with a Cox proportional hazard model which</w:t>
      </w:r>
      <w:r w:rsidR="00113DB7" w:rsidRPr="00D15DD8">
        <w:rPr>
          <w:rFonts w:ascii="Times New Roman" w:eastAsia="Times New Roman" w:hAnsi="Times New Roman" w:cs="Times New Roman"/>
          <w:color w:val="000000"/>
          <w:sz w:val="24"/>
          <w:szCs w:val="24"/>
        </w:rPr>
        <w:t xml:space="preserve">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Default="00A83960" w:rsidP="009C7CAD">
      <w:pPr>
        <w:spacing w:line="480" w:lineRule="auto"/>
        <w:rPr>
          <w:rFonts w:ascii="Times New Roman" w:hAnsi="Times New Roman" w:cs="Times New Roman"/>
          <w:b/>
          <w:bCs/>
          <w:sz w:val="24"/>
          <w:szCs w:val="24"/>
        </w:rPr>
        <w:sectPr w:rsidR="00A83960" w:rsidSect="00A83960">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50E6CF0A"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4FE7CDF0"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as various mechanisms have been discovered</w:t>
      </w:r>
      <w:r w:rsidR="00EA5062" w:rsidRPr="00D15DD8">
        <w:rPr>
          <w:rFonts w:ascii="Times New Roman" w:hAnsi="Times New Roman" w:cs="Times New Roman"/>
          <w:sz w:val="24"/>
          <w:szCs w:val="24"/>
        </w:rPr>
        <w:t xml:space="preserve"> 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(Ricciardelli &amp; Rodgers, 2006).</w:t>
      </w:r>
    </w:p>
    <w:p w14:paraId="16B6BFDF" w14:textId="59E5EBEC"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(Dipiro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located in the ovaries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 various growth factors, and other tissue inhibitors.  Collagen is an essential component in homeostasis and ECM remodeling</w:t>
      </w:r>
      <w:r w:rsidR="00DC1FB3">
        <w:rPr>
          <w:rFonts w:ascii="Times New Roman" w:eastAsia="Times New Roman" w:hAnsi="Times New Roman" w:cs="Times New Roman"/>
          <w:color w:val="000000"/>
          <w:sz w:val="24"/>
          <w:szCs w:val="24"/>
        </w:rPr>
        <w:t>, such as ECM stiffness and elasticity, 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474930">
        <w:rPr>
          <w:rFonts w:ascii="Times New Roman" w:eastAsia="Times New Roman" w:hAnsi="Times New Roman" w:cs="Times New Roman"/>
          <w:color w:val="000000"/>
          <w:sz w:val="24"/>
          <w:szCs w:val="24"/>
        </w:rPr>
        <w:t xml:space="preserve"> </w:t>
      </w:r>
      <w:r w:rsidR="00DC4FC3">
        <w:rPr>
          <w:rFonts w:ascii="Times New Roman" w:eastAsia="Times New Roman" w:hAnsi="Times New Roman" w:cs="Times New Roman"/>
          <w:color w:val="000000"/>
          <w:sz w:val="24"/>
          <w:szCs w:val="24"/>
        </w:rPr>
        <w:t>progression</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2BEEADCC" w14:textId="0C3117F0" w:rsidR="008A5AB3" w:rsidRDefault="00E528C2"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ECMs</w:t>
      </w:r>
      <w:r w:rsidR="004240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such as cell communication and cell shape (Woodruff &amp; Shea, 2007).  </w:t>
      </w:r>
      <w:r w:rsidR="008A5AB3">
        <w:rPr>
          <w:rFonts w:ascii="Times New Roman" w:eastAsia="Times New Roman" w:hAnsi="Times New Roman" w:cs="Times New Roman"/>
          <w:color w:val="000000"/>
          <w:sz w:val="24"/>
          <w:szCs w:val="24"/>
        </w:rPr>
        <w:t xml:space="preserve">For example, in tumorigenesis, collagen is remodeled into thick fibrils (Cho et al., 2015).  This structure of fibrils is regulated by the COL12A1 gene, which is the collagen type XII alpha 1 chain in homo sapiens (NCBI – COL12A1, 2020).   </w:t>
      </w:r>
      <w:r w:rsidR="00514F77">
        <w:rPr>
          <w:rFonts w:ascii="Times New Roman" w:eastAsia="Times New Roman" w:hAnsi="Times New Roman" w:cs="Times New Roman"/>
          <w:color w:val="000000"/>
          <w:sz w:val="24"/>
          <w:szCs w:val="24"/>
        </w:rPr>
        <w:t xml:space="preserve">However, research also focuses on drug resistance </w:t>
      </w:r>
      <w:r w:rsidR="0056749D">
        <w:rPr>
          <w:rFonts w:ascii="Times New Roman" w:eastAsia="Times New Roman" w:hAnsi="Times New Roman" w:cs="Times New Roman"/>
          <w:color w:val="000000"/>
          <w:sz w:val="24"/>
          <w:szCs w:val="24"/>
        </w:rPr>
        <w:lastRenderedPageBreak/>
        <w:t xml:space="preserve">mechanisms which </w:t>
      </w:r>
      <w:r w:rsidR="00514F77">
        <w:rPr>
          <w:rFonts w:ascii="Times New Roman" w:eastAsia="Times New Roman" w:hAnsi="Times New Roman" w:cs="Times New Roman"/>
          <w:color w:val="000000"/>
          <w:sz w:val="24"/>
          <w:szCs w:val="24"/>
        </w:rPr>
        <w:t>can be due to functional abnormalities rather than structural like ECM (Holohan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produces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1E4850EC" w14:textId="5B32A162" w:rsidR="00037C80" w:rsidRPr="00D15DD8" w:rsidRDefault="00AB04DA"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ECM organization and cell morphology is essential in understanding and gaining insights of malignant neoplasms and their processes (Cho et al., 2015).  </w:t>
      </w:r>
      <w:r w:rsidR="008A54B7">
        <w:rPr>
          <w:rFonts w:ascii="Times New Roman" w:eastAsia="Times New Roman" w:hAnsi="Times New Roman" w:cs="Times New Roman"/>
          <w:color w:val="000000"/>
          <w:sz w:val="24"/>
          <w:szCs w:val="24"/>
        </w:rPr>
        <w:t xml:space="preserve">Copy number variation (CNV) has been linked to complicated traits and behaviors in diseases and drug resistance (Gamazon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6857D3">
        <w:rPr>
          <w:rFonts w:ascii="Times New Roman" w:eastAsia="Times New Roman" w:hAnsi="Times New Roman" w:cs="Times New Roman"/>
          <w:color w:val="000000"/>
          <w:sz w:val="24"/>
          <w:szCs w:val="24"/>
        </w:rPr>
        <w:t xml:space="preserve">  These structural variations affect base pairs with a duplication or deletion and have been identified as a facilitator for genomic disease states (Sharp et al., 2005).  </w:t>
      </w:r>
      <w:r w:rsidR="00CC7C37">
        <w:rPr>
          <w:rFonts w:ascii="Times New Roman" w:eastAsia="Times New Roman" w:hAnsi="Times New Roman" w:cs="Times New Roman"/>
          <w:color w:val="000000"/>
          <w:sz w:val="24"/>
          <w:szCs w:val="24"/>
        </w:rPr>
        <w:t xml:space="preserve">This is important as it has been estimated that 4.8% to 9.7% of the human genome is comprised of CNVs (Sharp et al., 2005).  </w:t>
      </w:r>
      <w:r w:rsidR="00474930">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sidR="00474930">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sidR="00474930">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sidR="00474930">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B00034">
        <w:rPr>
          <w:rFonts w:ascii="Times New Roman" w:eastAsia="Times New Roman" w:hAnsi="Times New Roman" w:cs="Times New Roman"/>
          <w:color w:val="000000"/>
          <w:sz w:val="24"/>
          <w:szCs w:val="24"/>
        </w:rPr>
        <w:t xml:space="preserve">collagen </w:t>
      </w:r>
      <w:r w:rsidR="0041310E">
        <w:rPr>
          <w:rFonts w:ascii="Times New Roman" w:eastAsia="Times New Roman" w:hAnsi="Times New Roman" w:cs="Times New Roman"/>
          <w:color w:val="000000"/>
          <w:sz w:val="24"/>
          <w:szCs w:val="24"/>
        </w:rPr>
        <w:t>genetic component behind ECM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in ovarian cancer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sidR="00474930">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sidR="00474930">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sidR="00474930">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728B39B5"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was</w:t>
      </w:r>
      <w:r w:rsidRPr="00D15DD8">
        <w:rPr>
          <w:rFonts w:ascii="Times New Roman" w:hAnsi="Times New Roman" w:cs="Times New Roman"/>
          <w:sz w:val="24"/>
          <w:szCs w:val="24"/>
        </w:rPr>
        <w:t xml:space="preserve"> performed on </w:t>
      </w:r>
      <w:r w:rsidR="00474930">
        <w:rPr>
          <w:rFonts w:ascii="Times New Roman" w:hAnsi="Times New Roman" w:cs="Times New Roman"/>
          <w:sz w:val="24"/>
          <w:szCs w:val="24"/>
        </w:rPr>
        <w:t xml:space="preserve">ovarian cancer </w:t>
      </w:r>
      <w:r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Pr="00D15DD8">
        <w:rPr>
          <w:rFonts w:ascii="Times New Roman" w:hAnsi="Times New Roman" w:cs="Times New Roman"/>
          <w:sz w:val="24"/>
          <w:szCs w:val="24"/>
        </w:rPr>
        <w:t xml:space="preserve"> mutations in 55 different collagen genes in ovarian cancer from the TCGA database.</w:t>
      </w:r>
      <w:r w:rsidR="00FC6F37">
        <w:rPr>
          <w:rFonts w:ascii="Times New Roman" w:hAnsi="Times New Roman" w:cs="Times New Roman"/>
          <w:sz w:val="24"/>
          <w:szCs w:val="24"/>
        </w:rPr>
        <w:t xml:space="preserve">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For survival analysis </w:t>
      </w:r>
      <w:r w:rsidR="00AC3ED5">
        <w:rPr>
          <w:rFonts w:ascii="Times New Roman" w:hAnsi="Times New Roman" w:cs="Times New Roman"/>
          <w:sz w:val="24"/>
          <w:szCs w:val="24"/>
        </w:rPr>
        <w:lastRenderedPageBreak/>
        <w:t>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0BCB6D13"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genetic literature </w:t>
      </w:r>
      <w:r w:rsidR="00D52D6A">
        <w:rPr>
          <w:rFonts w:ascii="Times New Roman" w:eastAsia="Times New Roman" w:hAnsi="Times New Roman" w:cs="Times New Roman"/>
          <w:color w:val="000000"/>
          <w:sz w:val="24"/>
          <w:szCs w:val="24"/>
        </w:rPr>
        <w:t>(Gamazon &amp; Stranger, 2015).</w:t>
      </w:r>
    </w:p>
    <w:p w14:paraId="685147F9" w14:textId="39436B11"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genetic knowledge base,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outcomes</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This research has </w:t>
      </w:r>
      <w:r w:rsidR="00EE6D9D">
        <w:rPr>
          <w:rFonts w:ascii="Times New Roman" w:hAnsi="Times New Roman" w:cs="Times New Roman"/>
          <w:sz w:val="24"/>
          <w:szCs w:val="24"/>
        </w:rPr>
        <w:t xml:space="preserve">the </w:t>
      </w:r>
      <w:r w:rsidR="005158FB">
        <w:rPr>
          <w:rFonts w:ascii="Times New Roman" w:hAnsi="Times New Roman" w:cs="Times New Roman"/>
          <w:sz w:val="24"/>
          <w:szCs w:val="24"/>
        </w:rPr>
        <w:t xml:space="preserve">potential to assist the need for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r w:rsidR="00E432B5">
        <w:rPr>
          <w:rFonts w:ascii="Times New Roman" w:eastAsia="Times New Roman" w:hAnsi="Times New Roman" w:cs="Times New Roman"/>
          <w:color w:val="000000"/>
          <w:sz w:val="24"/>
          <w:szCs w:val="24"/>
        </w:rPr>
        <w:t>MeSH</w:t>
      </w:r>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4494BB9F"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 expression is generally the 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has been researched previously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p>
    <w:p w14:paraId="0C4F164A" w14:textId="18EEA97E"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as previously mentioned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(Cheon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neoplasms and hypothesized with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(Januchowski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EC62703"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(Spainhour &amp; Qiu, 2016)</w:t>
      </w:r>
      <w:r w:rsidR="00097473">
        <w:rPr>
          <w:rFonts w:ascii="Times New Roman" w:eastAsia="Times New Roman" w:hAnsi="Times New Roman" w:cs="Times New Roman"/>
          <w:color w:val="000000"/>
          <w:sz w:val="24"/>
          <w:szCs w:val="24"/>
        </w:rPr>
        <w:t>.</w:t>
      </w:r>
    </w:p>
    <w:p w14:paraId="22D37DB3" w14:textId="47E1CA93"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similitude.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germline variations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somatically acquired changes and these two types of neoplasm 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196002A2"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study uses </w:t>
      </w:r>
      <w:r w:rsidR="000D1046">
        <w:rPr>
          <w:rFonts w:ascii="Times New Roman" w:hAnsi="Times New Roman" w:cs="Times New Roman"/>
          <w:sz w:val="24"/>
          <w:szCs w:val="24"/>
        </w:rPr>
        <w:t xml:space="preserve">a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This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17912CF2" w14:textId="4E5CB567" w:rsidR="00DE1175" w:rsidRDefault="00DE1175"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Kaplan-Meier survival curve is used in this study as it </w:t>
      </w:r>
      <w:r w:rsidR="00CB3AE3">
        <w:rPr>
          <w:rFonts w:ascii="Times New Roman" w:hAnsi="Times New Roman" w:cs="Times New Roman"/>
          <w:sz w:val="24"/>
          <w:szCs w:val="24"/>
        </w:rPr>
        <w:t>can</w:t>
      </w:r>
      <w:r>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Pr>
          <w:rFonts w:ascii="Times New Roman" w:hAnsi="Times New Roman" w:cs="Times New Roman"/>
          <w:sz w:val="24"/>
          <w:szCs w:val="24"/>
        </w:rPr>
        <w:t>Censoring is defined as the cutoff of survival time when the endpoint of interest has not been studied, due to multiple reasons including death or being lost to follow-up</w:t>
      </w:r>
      <w:r w:rsidR="00AF30B6">
        <w:rPr>
          <w:rFonts w:ascii="Times New Roman" w:hAnsi="Times New Roman" w:cs="Times New Roman"/>
          <w:sz w:val="24"/>
          <w:szCs w:val="24"/>
        </w:rPr>
        <w:t xml:space="preserve"> (Kaplan &amp; Meier, 1958)</w:t>
      </w:r>
      <w:r>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 xml:space="preserve">The Kaplan-Meier survival curve makes a couple of assumptions.  The first is that all survival patients are independent of each other, or rather one patient surviving does not affect another patient surviving or having an event.  </w:t>
      </w:r>
      <w:r w:rsidR="00C804AF">
        <w:rPr>
          <w:rFonts w:ascii="Times New Roman" w:hAnsi="Times New Roman" w:cs="Times New Roman"/>
          <w:sz w:val="24"/>
          <w:szCs w:val="24"/>
        </w:rPr>
        <w:t xml:space="preserve">The second assumption is that censoring does not lead to an increased or decreased likelihood of events.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EA7BD4">
        <w:rPr>
          <w:rFonts w:ascii="Times New Roman" w:hAnsi="Times New Roman" w:cs="Times New Roman"/>
          <w:sz w:val="24"/>
          <w:szCs w:val="24"/>
        </w:rPr>
        <w:t xml:space="preserve">However, it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as the Kaplan-Meier curve is considered as descriptive only</w:t>
      </w:r>
      <w:r w:rsidR="00EA7BD4">
        <w:rPr>
          <w:rFonts w:ascii="Times New Roman" w:hAnsi="Times New Roman" w:cs="Times New Roman"/>
          <w:sz w:val="24"/>
          <w:szCs w:val="24"/>
        </w:rPr>
        <w:t>.</w:t>
      </w:r>
    </w:p>
    <w:p w14:paraId="429ACF53" w14:textId="27FFE9B6"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through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(Kleinbaum &amp; Klein, 2012, p. 54)</w:t>
      </w:r>
      <w:r>
        <w:rPr>
          <w:rFonts w:ascii="Times New Roman" w:hAnsi="Times New Roman" w:cs="Times New Roman"/>
          <w:sz w:val="24"/>
          <w:szCs w:val="24"/>
        </w:rPr>
        <w:t>.  Another definition</w:t>
      </w:r>
      <w:r w:rsidR="001A4553">
        <w:rPr>
          <w:rFonts w:ascii="Times New Roman" w:hAnsi="Times New Roman" w:cs="Times New Roman"/>
          <w:sz w:val="24"/>
          <w:szCs w:val="24"/>
        </w:rPr>
        <w:t xml:space="preserve"> for survival function which may be used</w:t>
      </w:r>
      <w:r>
        <w:rPr>
          <w:rFonts w:ascii="Times New Roman" w:hAnsi="Times New Roman" w:cs="Times New Roman"/>
          <w:sz w:val="24"/>
          <w:szCs w:val="24"/>
        </w:rPr>
        <w:t xml:space="preserve"> is where a certain event has not occurred by a specific time point.  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w:t>
      </w:r>
      <w:r w:rsidR="00F94060">
        <w:rPr>
          <w:rFonts w:ascii="Times New Roman" w:hAnsi="Times New Roman" w:cs="Times New Roman"/>
          <w:sz w:val="24"/>
          <w:szCs w:val="24"/>
        </w:rPr>
        <w:lastRenderedPageBreak/>
        <w:t>model</w:t>
      </w:r>
      <w:r w:rsidR="00E01D37">
        <w:rPr>
          <w:rFonts w:ascii="Times New Roman" w:hAnsi="Times New Roman" w:cs="Times New Roman"/>
          <w:sz w:val="24"/>
          <w:szCs w:val="24"/>
        </w:rPr>
        <w:t xml:space="preserve"> and will be discussion in more detail at the end of this section</w:t>
      </w:r>
      <w:r w:rsidR="00F94060">
        <w:rPr>
          <w:rFonts w:ascii="Times New Roman" w:hAnsi="Times New Roman" w:cs="Times New Roman"/>
          <w:sz w:val="24"/>
          <w:szCs w:val="24"/>
        </w:rPr>
        <w:t xml:space="preserve">.  </w:t>
      </w:r>
      <w:r>
        <w:rPr>
          <w:rFonts w:ascii="Times New Roman" w:hAnsi="Times New Roman" w:cs="Times New Roman"/>
          <w:sz w:val="24"/>
          <w:szCs w:val="24"/>
        </w:rPr>
        <w:t>The survival function and hazard function are related 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p>
    <w:p w14:paraId="587E5058" w14:textId="0D8D912A"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denoted in Figure 1</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1F484EC0" w:rsidR="00D60DB0" w:rsidRPr="007040D3" w:rsidRDefault="00D60DB0" w:rsidP="007040D3">
                            <w:pPr>
                              <w:jc w:val="center"/>
                            </w:pPr>
                            <w:r w:rsidRPr="007040D3">
                              <w:rPr>
                                <w:rFonts w:ascii="Times New Roman" w:hAnsi="Times New Roman" w:cs="Times New Roman"/>
                                <w:b/>
                                <w:bCs/>
                                <w:sz w:val="24"/>
                                <w:szCs w:val="24"/>
                              </w:rPr>
                              <w:t xml:space="preserve">Figure 1: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1F484EC0" w:rsidR="00D60DB0" w:rsidRPr="007040D3" w:rsidRDefault="00D60DB0" w:rsidP="007040D3">
                      <w:pPr>
                        <w:jc w:val="center"/>
                      </w:pPr>
                      <w:r w:rsidRPr="007040D3">
                        <w:rPr>
                          <w:rFonts w:ascii="Times New Roman" w:hAnsi="Times New Roman" w:cs="Times New Roman"/>
                          <w:b/>
                          <w:bCs/>
                          <w:sz w:val="24"/>
                          <w:szCs w:val="24"/>
                        </w:rPr>
                        <w:t xml:space="preserve">Figure 1: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P(T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5821D6D1"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1 represents that the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the integral of the probability 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2</w:t>
      </w:r>
      <w:r w:rsidR="005E7CEF">
        <w:rPr>
          <w:rFonts w:ascii="Times New Roman" w:hAnsi="Times New Roman" w:cs="Times New Roman"/>
          <w:sz w:val="24"/>
          <w:szCs w:val="24"/>
        </w:rPr>
        <w:t xml:space="preserve"> (Collet, 2015, p. 12)</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25E2DBEE" w:rsidR="00D60DB0" w:rsidRPr="007040D3" w:rsidRDefault="00D60DB0" w:rsidP="002A7648">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25E2DBEE" w:rsidR="00D60DB0" w:rsidRPr="007040D3" w:rsidRDefault="00D60DB0" w:rsidP="002A7648">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S(t) = P(T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3A612CDD"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also define the survival function as the probability that one, or more, events take place after time </w:t>
      </w:r>
      <w:r w:rsidR="009B77A4" w:rsidRPr="009B77A4">
        <w:rPr>
          <w:rFonts w:ascii="Times New Roman" w:hAnsi="Times New Roman" w:cs="Times New Roman"/>
          <w:i/>
          <w:iCs/>
          <w:sz w:val="24"/>
          <w:szCs w:val="24"/>
        </w:rPr>
        <w:lastRenderedPageBreak/>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Now that probabilities have been obtained, statistical significance needs to be examined through log-rank testing.</w:t>
      </w:r>
    </w:p>
    <w:p w14:paraId="722C700E" w14:textId="5D47D1F2" w:rsidR="001A5C47" w:rsidRPr="001A5C47"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at death, or event time, </w:t>
      </w:r>
      <w:r w:rsidR="003B025B">
        <w:rPr>
          <w:rFonts w:ascii="Times New Roman" w:hAnsi="Times New Roman" w:cs="Times New Roman"/>
          <w:i/>
          <w:iCs/>
          <w:sz w:val="24"/>
          <w:szCs w:val="24"/>
        </w:rPr>
        <w:t>d</w:t>
      </w:r>
      <w:r w:rsidR="003B025B">
        <w:rPr>
          <w:rFonts w:ascii="Times New Roman" w:hAnsi="Times New Roman" w:cs="Times New Roman"/>
          <w:iCs/>
          <w:sz w:val="24"/>
          <w:szCs w:val="24"/>
        </w:rPr>
        <w:t>, showing the number of deaths, number of subjects alive, and total number of subjects.  This is completed at every death even</w:t>
      </w:r>
      <w:r w:rsidR="003D163D">
        <w:rPr>
          <w:rFonts w:ascii="Times New Roman" w:hAnsi="Times New Roman" w:cs="Times New Roman"/>
          <w:iCs/>
          <w:sz w:val="24"/>
          <w:szCs w:val="24"/>
        </w:rPr>
        <w:t>t and the tables are treated as independent events.</w:t>
      </w:r>
      <w:r w:rsidR="004E42A5">
        <w:rPr>
          <w:rFonts w:ascii="Times New Roman" w:hAnsi="Times New Roman" w:cs="Times New Roman"/>
          <w:iCs/>
          <w:sz w:val="24"/>
          <w:szCs w:val="24"/>
        </w:rPr>
        <w:t xml:space="preserve">  This procedure is known as the Mantel-Haenszel procedure </w:t>
      </w:r>
      <w:r w:rsidR="004E42A5">
        <w:rPr>
          <w:rFonts w:ascii="Times New Roman" w:hAnsi="Times New Roman" w:cs="Times New Roman"/>
          <w:sz w:val="24"/>
          <w:szCs w:val="24"/>
        </w:rPr>
        <w:t>(Collet, 2015, p. 47).</w:t>
      </w:r>
      <w:r w:rsidR="004E42A5">
        <w:rPr>
          <w:rFonts w:ascii="Times New Roman" w:hAnsi="Times New Roman" w:cs="Times New Roman"/>
          <w:iCs/>
          <w:sz w:val="24"/>
          <w:szCs w:val="24"/>
        </w:rPr>
        <w:t xml:space="preserve">  The log-rank test will give a probability value (p-value) for the difference between the two groups plotted on the </w:t>
      </w:r>
      <w:r w:rsidR="004E42A5">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sidR="004E42A5">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sidR="004E42A5">
        <w:rPr>
          <w:rFonts w:ascii="Times New Roman" w:hAnsi="Times New Roman" w:cs="Times New Roman"/>
          <w:sz w:val="24"/>
          <w:szCs w:val="24"/>
        </w:rPr>
        <w:t xml:space="preserve"> gap in survival on the Kaplan-Meier 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(LaMorte,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 xml:space="preserve">test can be considered a type of one-way ANOVA for survival analysis (Grace-Martin, 2018).  </w:t>
      </w:r>
      <w:r w:rsidR="00591C1C">
        <w:rPr>
          <w:rFonts w:ascii="Times New Roman" w:hAnsi="Times New Roman" w:cs="Times New Roman"/>
          <w:sz w:val="24"/>
          <w:szCs w:val="24"/>
        </w:rPr>
        <w:t xml:space="preserve">The chi square equation is shown in figure </w:t>
      </w:r>
      <w:r w:rsidR="00D96084">
        <w:rPr>
          <w:rFonts w:ascii="Times New Roman" w:hAnsi="Times New Roman" w:cs="Times New Roman"/>
          <w:sz w:val="24"/>
          <w:szCs w:val="24"/>
        </w:rPr>
        <w:t>3</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52DE3194">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7625E61C" w:rsidR="00D60DB0" w:rsidRPr="007040D3" w:rsidRDefault="00D60DB0" w:rsidP="00591C1C">
                            <w:pPr>
                              <w:jc w:val="right"/>
                            </w:pPr>
                            <w:r w:rsidRPr="007040D3">
                              <w:rPr>
                                <w:rFonts w:ascii="Times New Roman" w:hAnsi="Times New Roman" w:cs="Times New Roman"/>
                                <w:b/>
                                <w:bCs/>
                                <w:sz w:val="24"/>
                                <w:szCs w:val="24"/>
                              </w:rPr>
                              <w:t xml:space="preserve">Figure </w:t>
                            </w:r>
                            <w:r w:rsidR="00D96084">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8"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">
                <v:textbox>
                  <w:txbxContent>
                    <w:p w14:paraId="3358EE47" w14:textId="7625E61C" w:rsidR="00D60DB0" w:rsidRPr="007040D3" w:rsidRDefault="00D60DB0" w:rsidP="00591C1C">
                      <w:pPr>
                        <w:jc w:val="right"/>
                      </w:pPr>
                      <w:r w:rsidRPr="007040D3">
                        <w:rPr>
                          <w:rFonts w:ascii="Times New Roman" w:hAnsi="Times New Roman" w:cs="Times New Roman"/>
                          <w:b/>
                          <w:bCs/>
                          <w:sz w:val="24"/>
                          <w:szCs w:val="24"/>
                        </w:rPr>
                        <w:t xml:space="preserve">Figure </w:t>
                      </w:r>
                      <w:r w:rsidR="00D96084">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2ECE0DDE"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lastRenderedPageBreak/>
        <w:tab/>
      </w:r>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observed number of events for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(LaMorte, 2016).</w:t>
      </w:r>
      <w:r w:rsidR="008F4441">
        <w:rPr>
          <w:rFonts w:ascii="Times New Roman" w:hAnsi="Times New Roman" w:cs="Times New Roman"/>
          <w:sz w:val="24"/>
          <w:szCs w:val="24"/>
        </w:rPr>
        <w:t xml:space="preserve">  The chi square number for each group are the sums for the observed and expected events computed in the 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it the hypothesis is considered to be statistically significant if the chi square value is greater than 3.84 which corresponds to being less than the alpha value of 0.05.</w:t>
      </w:r>
      <w:r w:rsidR="00A45ECF">
        <w:rPr>
          <w:rFonts w:ascii="Times New Roman" w:hAnsi="Times New Roman" w:cs="Times New Roman"/>
          <w:sz w:val="24"/>
          <w:szCs w:val="24"/>
        </w:rPr>
        <w:t xml:space="preserve">  Now that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7EBBFFF7"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(Chilamkurthy, 2020).  </w:t>
      </w:r>
      <w:r w:rsidR="00AF0F48">
        <w:rPr>
          <w:rFonts w:ascii="Times New Roman" w:hAnsi="Times New Roman" w:cs="Times New Roman"/>
          <w:sz w:val="24"/>
          <w:szCs w:val="24"/>
        </w:rPr>
        <w:t>This modeling technique allows researchers to investigate relationships between covariates and survival time</w:t>
      </w:r>
      <w:r w:rsidR="00161F00">
        <w:rPr>
          <w:rFonts w:ascii="Times New Roman" w:hAnsi="Times New Roman" w:cs="Times New Roman"/>
          <w:sz w:val="24"/>
          <w:szCs w:val="24"/>
        </w:rPr>
        <w:t xml:space="preserve"> (Cox, 1972)</w:t>
      </w:r>
      <w:r w:rsidR="00AF0F48">
        <w:rPr>
          <w:rFonts w:ascii="Times New Roman" w:hAnsi="Times New Roman" w:cs="Times New Roman"/>
          <w:sz w:val="24"/>
          <w:szCs w:val="24"/>
        </w:rPr>
        <w:t xml:space="preserve">.  </w:t>
      </w:r>
      <w:r w:rsidR="0069347F">
        <w:rPr>
          <w:rFonts w:ascii="Times New Roman" w:hAnsi="Times New Roman" w:cs="Times New Roman"/>
          <w:sz w:val="24"/>
          <w:szCs w:val="24"/>
        </w:rPr>
        <w:t>It</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(Tibshirani,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at any point in 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 xml:space="preserve">Therefore, the Cox proportional hazard model is considered a semi-parametric model.  However, </w:t>
      </w:r>
      <w:r w:rsidR="00384830">
        <w:rPr>
          <w:rFonts w:ascii="Times New Roman" w:hAnsi="Times New Roman" w:cs="Times New Roman"/>
          <w:sz w:val="24"/>
          <w:szCs w:val="24"/>
        </w:rPr>
        <w:lastRenderedPageBreak/>
        <w:t>a</w:t>
      </w:r>
      <w:r w:rsidR="004C71EE">
        <w:rPr>
          <w:rFonts w:ascii="Times New Roman" w:hAnsi="Times New Roman" w:cs="Times New Roman"/>
          <w:sz w:val="24"/>
          <w:szCs w:val="24"/>
        </w:rPr>
        <w:t>ssuming a constant ratio for the hazard model is considered unrealistic in the health 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384830">
        <w:rPr>
          <w:rFonts w:ascii="Times New Roman" w:hAnsi="Times New Roman" w:cs="Times New Roman"/>
          <w:sz w:val="24"/>
          <w:szCs w:val="24"/>
        </w:rPr>
        <w:t>.</w:t>
      </w:r>
    </w:p>
    <w:p w14:paraId="793A5F17" w14:textId="062596F2"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is that censoring does not lead to an increased or decreased likelihood of events, or rather that the censoring is non-informative.  It also assumes that survival times are independent</w:t>
      </w:r>
      <w:r w:rsidR="00535AED">
        <w:rPr>
          <w:rFonts w:ascii="Times New Roman" w:hAnsi="Times New Roman" w:cs="Times New Roman"/>
          <w:sz w:val="24"/>
          <w:szCs w:val="24"/>
        </w:rPr>
        <w:t xml:space="preserve"> which </w:t>
      </w:r>
      <w:r>
        <w:rPr>
          <w:rFonts w:ascii="Times New Roman" w:hAnsi="Times New Roman" w:cs="Times New Roman"/>
          <w:sz w:val="24"/>
          <w:szCs w:val="24"/>
        </w:rPr>
        <w:t>means that a patient surviving is not dependent on another patient surviving or having an event.</w:t>
      </w:r>
      <w:r w:rsidR="00D24518">
        <w:rPr>
          <w:rFonts w:ascii="Times New Roman" w:hAnsi="Times New Roman" w:cs="Times New Roman"/>
          <w:sz w:val="24"/>
          <w:szCs w:val="24"/>
        </w:rPr>
        <w:t xml:space="preserve">  The Cox proportional hazard model also assumes that the baseline hazard is unspecified and that the treatment variables do not change over time</w:t>
      </w:r>
      <w:r w:rsidR="00EB1F7E">
        <w:rPr>
          <w:rFonts w:ascii="Times New Roman" w:hAnsi="Times New Roman" w:cs="Times New Roman"/>
          <w:sz w:val="24"/>
          <w:szCs w:val="24"/>
        </w:rPr>
        <w:t xml:space="preserve"> (Cox, 1972)</w:t>
      </w:r>
      <w:r w:rsidR="00D24518">
        <w:rPr>
          <w:rFonts w:ascii="Times New Roman" w:hAnsi="Times New Roman" w:cs="Times New Roman"/>
          <w:sz w:val="24"/>
          <w:szCs w:val="24"/>
        </w:rPr>
        <w:t>.</w:t>
      </w:r>
      <w:r w:rsidR="00B87E24">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7812DB">
        <w:rPr>
          <w:rFonts w:ascii="Times New Roman" w:hAnsi="Times New Roman" w:cs="Times New Roman"/>
          <w:sz w:val="24"/>
          <w:szCs w:val="24"/>
        </w:rPr>
        <w:t xml:space="preserve">.  </w:t>
      </w:r>
      <w:r w:rsidR="00B87E24">
        <w:rPr>
          <w:rFonts w:ascii="Times New Roman" w:hAnsi="Times New Roman" w:cs="Times New Roman"/>
          <w:sz w:val="24"/>
          <w:szCs w:val="24"/>
        </w:rPr>
        <w:t>The last assumption is that the log hazard rate is a linear function of the variables much like logistic regression where the log odds are the linear function of the variables.</w:t>
      </w:r>
    </w:p>
    <w:p w14:paraId="6DE9C6CA" w14:textId="31EAF91D"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D96084">
        <w:rPr>
          <w:rFonts w:ascii="Times New Roman" w:hAnsi="Times New Roman" w:cs="Times New Roman"/>
          <w:sz w:val="24"/>
          <w:szCs w:val="24"/>
        </w:rPr>
        <w:t>4</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5210B665" w:rsidR="00F94060" w:rsidRPr="007040D3" w:rsidRDefault="00F94060" w:rsidP="00F94060">
                            <w:pPr>
                              <w:jc w:val="center"/>
                            </w:pPr>
                            <w:r w:rsidRPr="007040D3">
                              <w:rPr>
                                <w:rFonts w:ascii="Times New Roman" w:hAnsi="Times New Roman" w:cs="Times New Roman"/>
                                <w:b/>
                                <w:bCs/>
                                <w:sz w:val="24"/>
                                <w:szCs w:val="24"/>
                              </w:rPr>
                              <w:t xml:space="preserve">Figure </w:t>
                            </w:r>
                            <w:r w:rsidR="00D96084">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29"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DDn/6gJQIAAE0EAAAOAAAAAAAAAAAAAAAAAC4CAABkcnMvZTJvRG9j&#10;LnhtbFBLAQItABQABgAIAAAAIQDSwBfH3gAAAAcBAAAPAAAAAAAAAAAAAAAAAH8EAABkcnMvZG93&#10;bnJldi54bWxQSwUGAAAAAAQABADzAAAAigUAAAAA&#10;">
                <v:textbox>
                  <w:txbxContent>
                    <w:p w14:paraId="489A98EE" w14:textId="5210B665" w:rsidR="00F94060" w:rsidRPr="007040D3" w:rsidRDefault="00F94060" w:rsidP="00F94060">
                      <w:pPr>
                        <w:jc w:val="center"/>
                      </w:pPr>
                      <w:r w:rsidRPr="007040D3">
                        <w:rPr>
                          <w:rFonts w:ascii="Times New Roman" w:hAnsi="Times New Roman" w:cs="Times New Roman"/>
                          <w:b/>
                          <w:bCs/>
                          <w:sz w:val="24"/>
                          <w:szCs w:val="24"/>
                        </w:rPr>
                        <w:t xml:space="preserve">Figure </w:t>
                      </w:r>
                      <w:r w:rsidR="00D96084">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77777777"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also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Pr="003E04C9">
        <w:rPr>
          <w:rFonts w:ascii="Times New Roman" w:hAnsi="Times New Roman" w:cs="Times New Roman"/>
          <w:i/>
          <w:iCs/>
          <w:sz w:val="24"/>
          <w:szCs w:val="24"/>
        </w:rPr>
        <w:t>t</w:t>
      </w:r>
      <w:r>
        <w:rPr>
          <w:rFonts w:ascii="Times New Roman" w:hAnsi="Times New Roman" w:cs="Times New Roman"/>
          <w:sz w:val="24"/>
          <w:szCs w:val="24"/>
        </w:rPr>
        <w:t>.</w:t>
      </w:r>
    </w:p>
    <w:p w14:paraId="12A11475" w14:textId="601BA127"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hazard ratio is the exponential parameter estimate of proportional hazard models, or two groups with a hazard functions, which may then be used to approximate the ratio of hazard </w:t>
      </w:r>
      <w:r>
        <w:rPr>
          <w:rFonts w:ascii="Times New Roman" w:hAnsi="Times New Roman" w:cs="Times New Roman"/>
          <w:sz w:val="24"/>
          <w:szCs w:val="24"/>
        </w:rPr>
        <w:lastRenderedPageBreak/>
        <w:t>rates between a comparison or control group and a treatment group (Bradburn et al., 2003).  The hazard ratio is similar to the relative risk ratio, although not the same (Sutradhar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6909CD27"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way of defining the hazard ratio is through the equation in figure 5</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(t) * 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138CA171">
                <wp:simplePos x="0" y="0"/>
                <wp:positionH relativeFrom="margin">
                  <wp:align>center</wp:align>
                </wp:positionH>
                <wp:positionV relativeFrom="paragraph">
                  <wp:posOffset>7620</wp:posOffset>
                </wp:positionV>
                <wp:extent cx="2693035" cy="276225"/>
                <wp:effectExtent l="0" t="0" r="12065"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276225"/>
                        </a:xfrm>
                        <a:prstGeom prst="rect">
                          <a:avLst/>
                        </a:prstGeom>
                        <a:solidFill>
                          <a:srgbClr val="FFFFFF"/>
                        </a:solidFill>
                        <a:ln w="9525">
                          <a:solidFill>
                            <a:srgbClr val="000000"/>
                          </a:solidFill>
                          <a:miter lim="800000"/>
                          <a:headEnd/>
                          <a:tailEnd/>
                        </a:ln>
                      </wps:spPr>
                      <wps:txbx>
                        <w:txbxContent>
                          <w:p w14:paraId="5021F5B9" w14:textId="2C9EFEE1" w:rsidR="007F739F" w:rsidRPr="007040D3" w:rsidRDefault="007F739F" w:rsidP="007F739F">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0" type="#_x0000_t202" style="position:absolute;left:0;text-align:left;margin-left:0;margin-top:.6pt;width:212.05pt;height:21.7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">
                <v:textbox>
                  <w:txbxContent>
                    <w:p w14:paraId="5021F5B9" w14:textId="2C9EFEE1" w:rsidR="007F739F" w:rsidRPr="007040D3" w:rsidRDefault="007F739F" w:rsidP="007F739F">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4E153696"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denoted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  Thus, hazard ratios greater than one are negatively correlated with survival length</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38D1F1E5"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lastRenderedPageBreak/>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DataExplorer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r w:rsidR="008D369B" w:rsidRPr="00414350">
        <w:rPr>
          <w:rFonts w:ascii="Times New Roman" w:eastAsia="SimSun" w:hAnsi="Times New Roman" w:cs="Times New Roman"/>
          <w:sz w:val="24"/>
          <w:szCs w:val="24"/>
        </w:rPr>
        <w:t>SurvMiner</w:t>
      </w:r>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p>
    <w:p w14:paraId="3B3037C4" w14:textId="614B4E3C"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59AEDA07" w14:textId="748F5EAE" w:rsidR="001F0D31" w:rsidRPr="001F0D31" w:rsidRDefault="001F0D31" w:rsidP="001F0D31">
      <w:pPr>
        <w:shd w:val="clear" w:color="auto" w:fill="FFFFFF"/>
        <w:spacing w:line="240" w:lineRule="auto"/>
        <w:contextualSpacing/>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3D73B015"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r w:rsidR="00977210" w:rsidRPr="0088044C">
        <w:rPr>
          <w:rFonts w:ascii="Times New Roman" w:eastAsia="SimSun" w:hAnsi="Times New Roman" w:cs="Times New Roman"/>
          <w:sz w:val="24"/>
          <w:szCs w:val="24"/>
        </w:rPr>
        <w:t>Days.to.Death</w:t>
      </w:r>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w:t>
      </w:r>
      <w:r w:rsidR="00F90B35">
        <w:rPr>
          <w:rFonts w:ascii="Times New Roman" w:eastAsia="SimSun" w:hAnsi="Times New Roman" w:cs="Times New Roman"/>
          <w:sz w:val="24"/>
          <w:szCs w:val="24"/>
        </w:rPr>
        <w:lastRenderedPageBreak/>
        <w:t xml:space="preserve">Censoring is defined as where the event, death, did not occur during the observation </w:t>
      </w:r>
      <w:r w:rsidR="0072249B">
        <w:rPr>
          <w:rFonts w:ascii="Times New Roman" w:eastAsia="SimSun" w:hAnsi="Times New Roman" w:cs="Times New Roman"/>
          <w:sz w:val="24"/>
          <w:szCs w:val="24"/>
        </w:rPr>
        <w:t>(Prinja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344B76">
        <w:rPr>
          <w:rFonts w:ascii="Times New Roman" w:eastAsia="SimSun" w:hAnsi="Times New Roman" w:cs="Times New Roman"/>
          <w:sz w:val="24"/>
          <w:szCs w:val="24"/>
        </w:rPr>
        <w:t xml:space="preserve"> </w:t>
      </w:r>
    </w:p>
    <w:p w14:paraId="2D3B713C" w14:textId="6BE79ACC"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4116B94F" w14:textId="3155366B" w:rsidR="00D84741" w:rsidRDefault="00D84741">
      <w:pPr>
        <w:rPr>
          <w:rFonts w:ascii="Times New Roman" w:hAnsi="Times New Roman" w:cs="Times New Roman"/>
          <w:b/>
          <w:bCs/>
        </w:rPr>
      </w:pPr>
    </w:p>
    <w:p w14:paraId="39CE2B33" w14:textId="72FD8A4E" w:rsidR="00D6461F" w:rsidRPr="006568FF" w:rsidRDefault="00D6461F" w:rsidP="00D6461F">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t xml:space="preserve">Table 2. </w:t>
      </w:r>
      <w:r w:rsidR="008658E4">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sidR="00A5223C">
        <w:rPr>
          <w:rFonts w:ascii="Times New Roman" w:hAnsi="Times New Roman" w:cs="Times New Roman"/>
          <w:b/>
          <w:bCs/>
          <w:sz w:val="24"/>
          <w:szCs w:val="24"/>
        </w:rPr>
        <w:t xml:space="preserve"> and Hazard Ratios</w:t>
      </w:r>
    </w:p>
    <w:tbl>
      <w:tblPr>
        <w:tblStyle w:val="GridTable4-Accent1"/>
        <w:tblW w:w="10295"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997"/>
        <w:gridCol w:w="1299"/>
        <w:gridCol w:w="1471"/>
        <w:gridCol w:w="2905"/>
      </w:tblGrid>
      <w:tr w:rsidR="00810758" w:rsidRPr="004E6E7C" w14:paraId="72F163E4" w14:textId="77777777" w:rsidTr="00336DA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55C149A" w14:textId="77777777" w:rsidR="00810758" w:rsidRPr="00977210" w:rsidRDefault="00810758"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2997" w:type="dxa"/>
            <w:noWrap/>
            <w:vAlign w:val="center"/>
            <w:hideMark/>
          </w:tcPr>
          <w:p w14:paraId="288F1FF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99" w:type="dxa"/>
            <w:noWrap/>
            <w:vAlign w:val="center"/>
            <w:hideMark/>
          </w:tcPr>
          <w:p w14:paraId="15C99C79"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471" w:type="dxa"/>
            <w:noWrap/>
            <w:vAlign w:val="center"/>
            <w:hideMark/>
          </w:tcPr>
          <w:p w14:paraId="6396AC4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905" w:type="dxa"/>
            <w:noWrap/>
            <w:vAlign w:val="center"/>
            <w:hideMark/>
          </w:tcPr>
          <w:p w14:paraId="230E3419" w14:textId="68C5BA88"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Exp(Coef) – Hazard Ratio (95% CI)</w:t>
            </w:r>
          </w:p>
        </w:tc>
      </w:tr>
      <w:tr w:rsidR="00336DAA" w:rsidRPr="004E6E7C" w14:paraId="3575F4A6"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E9EFF20"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COL12A1</w:t>
            </w:r>
          </w:p>
        </w:tc>
        <w:tc>
          <w:tcPr>
            <w:tcW w:w="2997" w:type="dxa"/>
            <w:vAlign w:val="center"/>
          </w:tcPr>
          <w:p w14:paraId="4EDFB6B0" w14:textId="6CE0FF43"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7770687C"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471" w:type="dxa"/>
            <w:noWrap/>
            <w:vAlign w:val="center"/>
            <w:hideMark/>
          </w:tcPr>
          <w:p w14:paraId="7DA6A0CF"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0F1F0E5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071D6210"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937645E"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2D121861" w14:textId="3391CF8E"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A3E1DDA"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471" w:type="dxa"/>
            <w:noWrap/>
            <w:vAlign w:val="center"/>
            <w:hideMark/>
          </w:tcPr>
          <w:p w14:paraId="62AEE188"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905" w:type="dxa"/>
            <w:noWrap/>
            <w:vAlign w:val="center"/>
            <w:hideMark/>
          </w:tcPr>
          <w:p w14:paraId="5BAC96AD" w14:textId="40CE123A"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810758" w:rsidRPr="004E6E7C" w14:paraId="18D757DD"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D47B2EB"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12A79034" w14:textId="7BD43B65"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4153E286"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471" w:type="dxa"/>
            <w:noWrap/>
            <w:vAlign w:val="center"/>
            <w:hideMark/>
          </w:tcPr>
          <w:p w14:paraId="2E1C3F4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905" w:type="dxa"/>
            <w:noWrap/>
            <w:vAlign w:val="center"/>
            <w:hideMark/>
          </w:tcPr>
          <w:p w14:paraId="6F89E9B2" w14:textId="165E8E49"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336DAA" w:rsidRPr="004E6E7C" w14:paraId="42D8309F"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2A72437"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COL4A3BP</w:t>
            </w:r>
          </w:p>
        </w:tc>
        <w:tc>
          <w:tcPr>
            <w:tcW w:w="2997" w:type="dxa"/>
            <w:vAlign w:val="center"/>
          </w:tcPr>
          <w:p w14:paraId="1852790D" w14:textId="398104A7" w:rsidR="00336DAA" w:rsidRPr="00977210" w:rsidRDefault="00336DAA"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2EFAB14E"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471" w:type="dxa"/>
            <w:noWrap/>
            <w:vAlign w:val="center"/>
            <w:hideMark/>
          </w:tcPr>
          <w:p w14:paraId="1A5E14AA"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3A96B630"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10758" w:rsidRPr="004E6E7C" w14:paraId="6975DD3E"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ACE0DCA"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4DF3E9E8" w14:textId="259C3EDB"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16135EF" w14:textId="21B47C62"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p>
        </w:tc>
        <w:tc>
          <w:tcPr>
            <w:tcW w:w="1471" w:type="dxa"/>
            <w:noWrap/>
            <w:vAlign w:val="center"/>
            <w:hideMark/>
          </w:tcPr>
          <w:p w14:paraId="3878567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905" w:type="dxa"/>
            <w:noWrap/>
            <w:vAlign w:val="center"/>
            <w:hideMark/>
          </w:tcPr>
          <w:p w14:paraId="4F898310" w14:textId="2B7E6FFC"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810758" w:rsidRPr="004E6E7C" w14:paraId="6741A9A9"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69B58AF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A0C75F" w14:textId="0D8ABC5C"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570D76B4"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471" w:type="dxa"/>
            <w:noWrap/>
            <w:vAlign w:val="center"/>
            <w:hideMark/>
          </w:tcPr>
          <w:p w14:paraId="38BF516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905" w:type="dxa"/>
            <w:noWrap/>
            <w:vAlign w:val="center"/>
            <w:hideMark/>
          </w:tcPr>
          <w:p w14:paraId="3DBBC357" w14:textId="5075E9E1"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336DAA" w:rsidRPr="004E6E7C" w14:paraId="220A236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1EA66C65"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COL5A3</w:t>
            </w:r>
          </w:p>
        </w:tc>
        <w:tc>
          <w:tcPr>
            <w:tcW w:w="2997" w:type="dxa"/>
            <w:vAlign w:val="center"/>
          </w:tcPr>
          <w:p w14:paraId="468772DF" w14:textId="795A0550"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554EC26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471" w:type="dxa"/>
            <w:noWrap/>
            <w:vAlign w:val="center"/>
            <w:hideMark/>
          </w:tcPr>
          <w:p w14:paraId="0C22BD81"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682657FB"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3A2ED5C6"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9FD23D8"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7F551837" w14:textId="5DD34D9A"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7E8EF4D5" w14:textId="241472AD"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p>
        </w:tc>
        <w:tc>
          <w:tcPr>
            <w:tcW w:w="1471" w:type="dxa"/>
            <w:noWrap/>
            <w:vAlign w:val="center"/>
            <w:hideMark/>
          </w:tcPr>
          <w:p w14:paraId="16F4F8B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905" w:type="dxa"/>
            <w:noWrap/>
            <w:vAlign w:val="center"/>
            <w:hideMark/>
          </w:tcPr>
          <w:p w14:paraId="37BBC985" w14:textId="190B136E"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810758" w:rsidRPr="004E6E7C" w14:paraId="2923ECE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1CBDA5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83BAB4" w14:textId="0E54F8FF"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7C9E84B2"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471" w:type="dxa"/>
            <w:noWrap/>
            <w:vAlign w:val="center"/>
            <w:hideMark/>
          </w:tcPr>
          <w:p w14:paraId="387C3139"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905" w:type="dxa"/>
            <w:noWrap/>
            <w:vAlign w:val="center"/>
            <w:hideMark/>
          </w:tcPr>
          <w:p w14:paraId="36B3C1F0" w14:textId="39513963"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4BECDB6B"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58AA6F89" w14:textId="612E4180" w:rsidR="00AE03ED" w:rsidRDefault="00AE03E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likelihood ratio tests and Wald tests were statistically significant for all three collagen gene models.</w:t>
      </w:r>
    </w:p>
    <w:p w14:paraId="1DC6ADE7" w14:textId="6CFE2DE5" w:rsidR="00866F3C"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lastRenderedPageBreak/>
        <w:t>In the Cox-proportional hazard model,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normal and duplication CNV</w:t>
      </w:r>
      <w:r w:rsidR="00866F3C" w:rsidRPr="004E6E7C">
        <w:rPr>
          <w:rFonts w:ascii="Times New Roman" w:eastAsia="Times New Roman" w:hAnsi="Times New Roman" w:cs="Times New Roman"/>
          <w:color w:val="000000"/>
          <w:sz w:val="24"/>
          <w:szCs w:val="24"/>
        </w:rPr>
        <w:t xml:space="preserve"> when compared to deletion</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This means that normal and duplicated CNV </w:t>
      </w:r>
      <w:r w:rsidR="002207DD">
        <w:rPr>
          <w:rFonts w:ascii="Times New Roman" w:eastAsia="Times New Roman" w:hAnsi="Times New Roman" w:cs="Times New Roman"/>
          <w:color w:val="000000"/>
          <w:sz w:val="24"/>
          <w:szCs w:val="24"/>
        </w:rPr>
        <w:t>stratifications</w:t>
      </w:r>
      <w:r w:rsidR="00866F3C" w:rsidRPr="004E6E7C">
        <w:rPr>
          <w:rFonts w:ascii="Times New Roman" w:eastAsia="Times New Roman" w:hAnsi="Times New Roman" w:cs="Times New Roman"/>
          <w:color w:val="000000"/>
          <w:sz w:val="24"/>
          <w:szCs w:val="24"/>
        </w:rPr>
        <w:t xml:space="preserve">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D66AD5">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Coefficients for COL12A1 were also negative showing the same survival probability increase.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499B0017"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w:t>
      </w:r>
      <w:r w:rsidR="00F2364C">
        <w:rPr>
          <w:rFonts w:ascii="Times New Roman" w:eastAsia="Times New Roman" w:hAnsi="Times New Roman" w:cs="Times New Roman"/>
          <w:color w:val="000000"/>
          <w:sz w:val="24"/>
          <w:szCs w:val="24"/>
        </w:rPr>
        <w:t>with this gene duplication</w:t>
      </w:r>
      <w:r>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In 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2.239</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a 2.2</w:t>
      </w:r>
      <w:r w:rsidR="0057780B">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w:t>
      </w:r>
      <w:r w:rsidR="00940D00">
        <w:rPr>
          <w:rFonts w:ascii="Times New Roman" w:eastAsia="Times New Roman" w:hAnsi="Times New Roman" w:cs="Times New Roman"/>
          <w:color w:val="000000"/>
          <w:sz w:val="24"/>
          <w:szCs w:val="24"/>
        </w:rPr>
        <w:t>with this gene duplication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3BB5BD59"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Shown in Appendix C are K</w:t>
      </w:r>
      <w:r w:rsidR="00BE0052">
        <w:rPr>
          <w:rFonts w:ascii="Times New Roman" w:hAnsi="Times New Roman" w:cs="Times New Roman"/>
          <w:sz w:val="24"/>
          <w:szCs w:val="24"/>
        </w:rPr>
        <w:t>M</w:t>
      </w:r>
      <w:r>
        <w:rPr>
          <w:rFonts w:ascii="Times New Roman" w:hAnsi="Times New Roman" w:cs="Times New Roman"/>
          <w:sz w:val="24"/>
          <w:szCs w:val="24"/>
        </w:rPr>
        <w:t xml:space="preserve"> </w:t>
      </w:r>
      <w:r w:rsidR="002207DD">
        <w:rPr>
          <w:rFonts w:ascii="Times New Roman" w:hAnsi="Times New Roman" w:cs="Times New Roman"/>
          <w:sz w:val="24"/>
          <w:szCs w:val="24"/>
        </w:rPr>
        <w:t>plots</w:t>
      </w:r>
      <w:r w:rsidR="004E6E7C">
        <w:rPr>
          <w:rFonts w:ascii="Times New Roman" w:hAnsi="Times New Roman" w:cs="Times New Roman"/>
          <w:sz w:val="24"/>
          <w:szCs w:val="24"/>
        </w:rPr>
        <w:t xml:space="preserve"> </w:t>
      </w:r>
      <w:r>
        <w:rPr>
          <w:rFonts w:ascii="Times New Roman" w:hAnsi="Times New Roman" w:cs="Times New Roman"/>
          <w:sz w:val="24"/>
          <w:szCs w:val="24"/>
        </w:rPr>
        <w:t xml:space="preserve">for all </w:t>
      </w:r>
      <w:r w:rsidR="00F078DB">
        <w:rPr>
          <w:rFonts w:ascii="Times New Roman" w:hAnsi="Times New Roman" w:cs="Times New Roman"/>
          <w:sz w:val="24"/>
          <w:szCs w:val="24"/>
        </w:rPr>
        <w:t>three</w:t>
      </w:r>
      <w:r>
        <w:rPr>
          <w:rFonts w:ascii="Times New Roman" w:hAnsi="Times New Roman" w:cs="Times New Roman"/>
          <w:sz w:val="24"/>
          <w:szCs w:val="24"/>
        </w:rPr>
        <w:t xml:space="preserve">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Gene COL5A3 has a very distinct and visible survival difference between 1</w:t>
      </w:r>
      <w:r w:rsidR="00412909">
        <w:rPr>
          <w:rFonts w:ascii="Times New Roman" w:hAnsi="Times New Roman" w:cs="Times New Roman"/>
          <w:sz w:val="24"/>
          <w:szCs w:val="24"/>
        </w:rPr>
        <w:t>,</w:t>
      </w:r>
      <w:r w:rsidR="00AC3ED5">
        <w:rPr>
          <w:rFonts w:ascii="Times New Roman" w:hAnsi="Times New Roman" w:cs="Times New Roman"/>
          <w:sz w:val="24"/>
          <w:szCs w:val="24"/>
        </w:rPr>
        <w:t>100 days and 1</w:t>
      </w:r>
      <w:r w:rsidR="00412909">
        <w:rPr>
          <w:rFonts w:ascii="Times New Roman" w:hAnsi="Times New Roman" w:cs="Times New Roman"/>
          <w:sz w:val="24"/>
          <w:szCs w:val="24"/>
        </w:rPr>
        <w:t>,</w:t>
      </w:r>
      <w:r w:rsidR="00AC3ED5">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sidR="00AC3ED5">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sidR="00AC3ED5">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5839B4">
        <w:rPr>
          <w:rFonts w:ascii="Times New Roman" w:hAnsi="Times New Roman" w:cs="Times New Roman"/>
          <w:sz w:val="24"/>
          <w:szCs w:val="24"/>
        </w:rPr>
        <w:t>plot</w:t>
      </w:r>
      <w:r w:rsidR="00A71B3C">
        <w:rPr>
          <w:rFonts w:ascii="Times New Roman" w:hAnsi="Times New Roman" w:cs="Times New Roman"/>
          <w:sz w:val="24"/>
          <w:szCs w:val="24"/>
        </w:rPr>
        <w:t xml:space="preserve"> for </w:t>
      </w:r>
      <w:r w:rsidR="00A71B3C" w:rsidRPr="0043385D">
        <w:rPr>
          <w:rFonts w:ascii="Times New Roman" w:hAnsi="Times New Roman" w:cs="Times New Roman"/>
          <w:sz w:val="24"/>
          <w:szCs w:val="24"/>
        </w:rPr>
        <w:t>COL5A3.</w:t>
      </w:r>
    </w:p>
    <w:p w14:paraId="160DF038" w14:textId="67DF20B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w:t>
      </w:r>
      <w:r w:rsidRPr="0043385D">
        <w:rPr>
          <w:rFonts w:ascii="Times New Roman" w:eastAsia="Times New Roman" w:hAnsi="Times New Roman" w:cs="Times New Roman"/>
          <w:color w:val="000000"/>
          <w:sz w:val="24"/>
          <w:szCs w:val="24"/>
        </w:rPr>
        <w:lastRenderedPageBreak/>
        <w:t xml:space="preserve">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w:t>
      </w:r>
      <w:r w:rsidR="00166B67">
        <w:rPr>
          <w:rFonts w:ascii="Times New Roman" w:eastAsia="Times New Roman" w:hAnsi="Times New Roman" w:cs="Times New Roman"/>
          <w:color w:val="000000"/>
          <w:sz w:val="24"/>
          <w:szCs w:val="24"/>
        </w:rPr>
        <w:t>plot</w:t>
      </w:r>
      <w:r w:rsidR="00A71B3C" w:rsidRPr="0043385D">
        <w:rPr>
          <w:rFonts w:ascii="Times New Roman" w:eastAsia="Times New Roman" w:hAnsi="Times New Roman" w:cs="Times New Roman"/>
          <w:color w:val="000000"/>
          <w:sz w:val="24"/>
          <w:szCs w:val="24"/>
        </w:rPr>
        <w:t>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64636EB1"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w:t>
      </w:r>
      <w:r w:rsidR="00166B67">
        <w:rPr>
          <w:rFonts w:ascii="Times New Roman" w:eastAsia="Times New Roman" w:hAnsi="Times New Roman" w:cs="Times New Roman"/>
          <w:color w:val="000000"/>
          <w:sz w:val="24"/>
          <w:szCs w:val="24"/>
        </w:rPr>
        <w:t>plot</w:t>
      </w:r>
      <w:r w:rsidRPr="0043385D">
        <w:rPr>
          <w:rFonts w:ascii="Times New Roman" w:eastAsia="Times New Roman" w:hAnsi="Times New Roman" w:cs="Times New Roman"/>
          <w:color w:val="000000"/>
          <w:sz w:val="24"/>
          <w:szCs w:val="24"/>
        </w:rPr>
        <w:t xml:space="prese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52311647" w14:textId="4A8E9A86"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6B1E5838"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029F49F0"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6936A4">
        <w:rPr>
          <w:rFonts w:ascii="Times New Roman" w:hAnsi="Times New Roman" w:cs="Times New Roman"/>
          <w:b/>
          <w:bCs/>
          <w:sz w:val="24"/>
          <w:szCs w:val="24"/>
        </w:rPr>
        <w:t>-</w:t>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survival in the models.</w:t>
      </w:r>
      <w:r w:rsidR="00E60AC5">
        <w:rPr>
          <w:rFonts w:ascii="Times New Roman" w:hAnsi="Times New Roman" w:cs="Times New Roman"/>
          <w:b/>
          <w:bCs/>
          <w:sz w:val="24"/>
          <w:szCs w:val="24"/>
        </w:rPr>
        <w:br/>
      </w:r>
    </w:p>
    <w:p w14:paraId="0CE4A8EA" w14:textId="7A75368F"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p>
    <w:p w14:paraId="24872C01" w14:textId="7B354D0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7A0D06">
        <w:rPr>
          <w:rFonts w:ascii="Times New Roman" w:hAnsi="Times New Roman" w:cs="Times New Roman"/>
          <w:sz w:val="24"/>
          <w:szCs w:val="24"/>
        </w:rPr>
        <w:t xml:space="preserve">a </w:t>
      </w:r>
      <w:r w:rsidR="00822905">
        <w:rPr>
          <w:rFonts w:ascii="Times New Roman" w:hAnsi="Times New Roman" w:cs="Times New Roman"/>
          <w:sz w:val="24"/>
          <w:szCs w:val="24"/>
        </w:rPr>
        <w:t>satisfactory</w:t>
      </w:r>
      <w:r w:rsidR="00DF1765">
        <w:rPr>
          <w:rFonts w:ascii="Times New Roman" w:hAnsi="Times New Roman" w:cs="Times New Roman"/>
          <w:sz w:val="24"/>
          <w:szCs w:val="24"/>
        </w:rPr>
        <w:t xml:space="preserve"> fit </w:t>
      </w:r>
      <w:r w:rsidR="007A0D06">
        <w:rPr>
          <w:rFonts w:ascii="Times New Roman" w:hAnsi="Times New Roman" w:cs="Times New Roman"/>
          <w:sz w:val="24"/>
          <w:szCs w:val="24"/>
        </w:rPr>
        <w:t>for</w:t>
      </w:r>
      <w:r w:rsidR="00DF1765">
        <w:rPr>
          <w:rFonts w:ascii="Times New Roman" w:hAnsi="Times New Roman" w:cs="Times New Roman"/>
          <w:sz w:val="24"/>
          <w:szCs w:val="24"/>
        </w:rPr>
        <w:t xml:space="preserve"> the data.</w:t>
      </w:r>
    </w:p>
    <w:p w14:paraId="25C2C76F" w14:textId="0817B75C"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p>
    <w:p w14:paraId="53BE43DA" w14:textId="77777777" w:rsidR="00C178A0" w:rsidRDefault="00C178A0">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42D3E127" w14:textId="6859AFE8"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contextualSpacing/>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648CFF3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259</w:t>
            </w:r>
          </w:p>
        </w:tc>
        <w:tc>
          <w:tcPr>
            <w:tcW w:w="1298" w:type="dxa"/>
            <w:noWrap/>
            <w:hideMark/>
          </w:tcPr>
          <w:p w14:paraId="1ADA8755" w14:textId="2183B78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091</w:t>
            </w:r>
          </w:p>
        </w:tc>
        <w:tc>
          <w:tcPr>
            <w:tcW w:w="1313" w:type="dxa"/>
            <w:noWrap/>
            <w:hideMark/>
          </w:tcPr>
          <w:p w14:paraId="4C867C2E" w14:textId="55250E79"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10286D8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451</w:t>
            </w:r>
          </w:p>
        </w:tc>
        <w:tc>
          <w:tcPr>
            <w:tcW w:w="1298" w:type="dxa"/>
            <w:tcBorders>
              <w:bottom w:val="single" w:sz="4" w:space="0" w:color="auto"/>
            </w:tcBorders>
            <w:noWrap/>
            <w:hideMark/>
          </w:tcPr>
          <w:p w14:paraId="4D600592" w14:textId="29544910"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204</w:t>
            </w:r>
          </w:p>
        </w:tc>
        <w:tc>
          <w:tcPr>
            <w:tcW w:w="1313" w:type="dxa"/>
            <w:tcBorders>
              <w:bottom w:val="single" w:sz="4" w:space="0" w:color="auto"/>
            </w:tcBorders>
            <w:noWrap/>
            <w:hideMark/>
          </w:tcPr>
          <w:p w14:paraId="77C2A2CE" w14:textId="09A91848"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9FE8784"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298" w:type="dxa"/>
            <w:tcBorders>
              <w:bottom w:val="single" w:sz="4" w:space="0" w:color="auto"/>
            </w:tcBorders>
            <w:noWrap/>
            <w:hideMark/>
          </w:tcPr>
          <w:p w14:paraId="2568FE82" w14:textId="00AA88F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313" w:type="dxa"/>
            <w:tcBorders>
              <w:bottom w:val="single" w:sz="4" w:space="0" w:color="auto"/>
            </w:tcBorders>
            <w:noWrap/>
            <w:hideMark/>
          </w:tcPr>
          <w:p w14:paraId="47F87E4B" w14:textId="3715358F"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34A1CAFD"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3DF5257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43B479A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1CD03D01"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384</w:t>
            </w:r>
          </w:p>
        </w:tc>
        <w:tc>
          <w:tcPr>
            <w:tcW w:w="1298" w:type="dxa"/>
            <w:noWrap/>
            <w:hideMark/>
          </w:tcPr>
          <w:p w14:paraId="48FCEC1A" w14:textId="6C609F0F"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213</w:t>
            </w:r>
          </w:p>
        </w:tc>
        <w:tc>
          <w:tcPr>
            <w:tcW w:w="1313" w:type="dxa"/>
            <w:noWrap/>
            <w:hideMark/>
          </w:tcPr>
          <w:p w14:paraId="29FA8D32" w14:textId="51C2E84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BC11245"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102</w:t>
            </w:r>
          </w:p>
        </w:tc>
        <w:tc>
          <w:tcPr>
            <w:tcW w:w="1298" w:type="dxa"/>
            <w:noWrap/>
            <w:hideMark/>
          </w:tcPr>
          <w:p w14:paraId="6AC68707" w14:textId="748D50C6"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046</w:t>
            </w:r>
          </w:p>
        </w:tc>
        <w:tc>
          <w:tcPr>
            <w:tcW w:w="1313" w:type="dxa"/>
            <w:noWrap/>
            <w:hideMark/>
          </w:tcPr>
          <w:p w14:paraId="5D3715CC" w14:textId="3D55BFF0"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38E6E92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446</w:t>
            </w:r>
          </w:p>
        </w:tc>
        <w:tc>
          <w:tcPr>
            <w:tcW w:w="1298" w:type="dxa"/>
            <w:noWrap/>
            <w:hideMark/>
          </w:tcPr>
          <w:p w14:paraId="4A4BB2D4" w14:textId="14D96F3E"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278</w:t>
            </w:r>
          </w:p>
        </w:tc>
        <w:tc>
          <w:tcPr>
            <w:tcW w:w="1313" w:type="dxa"/>
            <w:noWrap/>
            <w:hideMark/>
          </w:tcPr>
          <w:p w14:paraId="5518513F" w14:textId="1DB1335B"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0D8AB82A"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516</w:t>
            </w:r>
          </w:p>
        </w:tc>
        <w:tc>
          <w:tcPr>
            <w:tcW w:w="1298" w:type="dxa"/>
            <w:noWrap/>
            <w:hideMark/>
          </w:tcPr>
          <w:p w14:paraId="6D3F26EE" w14:textId="1DC7CB92"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364</w:t>
            </w:r>
          </w:p>
        </w:tc>
        <w:tc>
          <w:tcPr>
            <w:tcW w:w="1313" w:type="dxa"/>
            <w:noWrap/>
            <w:hideMark/>
          </w:tcPr>
          <w:p w14:paraId="2AC563C3" w14:textId="320BE36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4EA7CC00"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COL12A1</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limits of confidence intervals.</w:t>
      </w:r>
      <w:r w:rsidR="000C2097">
        <w:rPr>
          <w:rFonts w:ascii="Times New Roman" w:hAnsi="Times New Roman" w:cs="Times New Roman"/>
          <w:sz w:val="24"/>
          <w:szCs w:val="24"/>
        </w:rPr>
        <w:t xml:space="preserve">  However, comparison of normal to duplication CNV in this gene </w:t>
      </w:r>
      <w:r w:rsidR="00EB3D7D">
        <w:rPr>
          <w:rFonts w:ascii="Times New Roman" w:hAnsi="Times New Roman" w:cs="Times New Roman"/>
          <w:sz w:val="24"/>
          <w:szCs w:val="24"/>
        </w:rPr>
        <w:t>displays</w:t>
      </w:r>
      <w:r w:rsidR="000C2097">
        <w:rPr>
          <w:rFonts w:ascii="Times New Roman" w:hAnsi="Times New Roman" w:cs="Times New Roman"/>
          <w:sz w:val="24"/>
          <w:szCs w:val="24"/>
        </w:rPr>
        <w:t xml:space="preserve"> no overlap of the confidence interval.</w:t>
      </w:r>
    </w:p>
    <w:p w14:paraId="14E07AC8" w14:textId="72FBE6B9"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shows a </w:t>
      </w:r>
      <w:r w:rsidR="0052441A">
        <w:rPr>
          <w:rFonts w:ascii="Times New Roman" w:hAnsi="Times New Roman" w:cs="Times New Roman"/>
          <w:sz w:val="24"/>
          <w:szCs w:val="24"/>
        </w:rPr>
        <w:t>“</w:t>
      </w:r>
      <w:r>
        <w:rPr>
          <w:rFonts w:ascii="Times New Roman" w:hAnsi="Times New Roman" w:cs="Times New Roman"/>
          <w:sz w:val="24"/>
          <w:szCs w:val="24"/>
        </w:rPr>
        <w:t>NA</w:t>
      </w:r>
      <w:r w:rsidR="0052441A">
        <w:rPr>
          <w:rFonts w:ascii="Times New Roman" w:hAnsi="Times New Roman" w:cs="Times New Roman"/>
          <w:sz w:val="24"/>
          <w:szCs w:val="24"/>
        </w:rPr>
        <w:t>”</w:t>
      </w:r>
      <w:r>
        <w:rPr>
          <w:rFonts w:ascii="Times New Roman" w:hAnsi="Times New Roman" w:cs="Times New Roman"/>
          <w:sz w:val="24"/>
          <w:szCs w:val="24"/>
        </w:rPr>
        <w:t xml:space="preserve">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570F636A"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(Efron,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w:t>
      </w:r>
      <w:r w:rsidR="00F95A80">
        <w:rPr>
          <w:rFonts w:ascii="Times New Roman" w:hAnsi="Times New Roman" w:cs="Times New Roman"/>
          <w:sz w:val="24"/>
          <w:szCs w:val="24"/>
        </w:rPr>
        <w:t>, such as a Bonferroni p-</w:t>
      </w:r>
      <w:r w:rsidR="00F95A80">
        <w:rPr>
          <w:rFonts w:ascii="Times New Roman" w:hAnsi="Times New Roman" w:cs="Times New Roman"/>
          <w:sz w:val="24"/>
          <w:szCs w:val="24"/>
        </w:rPr>
        <w:lastRenderedPageBreak/>
        <w:t>value correction,</w:t>
      </w:r>
      <w:r w:rsidR="00A62A0E">
        <w:rPr>
          <w:rFonts w:ascii="Times New Roman" w:hAnsi="Times New Roman" w:cs="Times New Roman"/>
          <w:sz w:val="24"/>
          <w:szCs w:val="24"/>
        </w:rPr>
        <w:t xml:space="preserve"> and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(Dahiru,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p>
    <w:p w14:paraId="3414B415" w14:textId="54156A27"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0CACC2B5"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(GTEx)</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lastRenderedPageBreak/>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2229AF45" w14:textId="134E6910"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here has even been recent work where the GTEx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33D2E33E"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have not introduced much bias into this study.  However, one should be aware that they exist and that they are not able to be controlled for in this research, as quantity and quality of data is are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0CEB68B0" w14:textId="7DBCC6FC"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E70E39">
        <w:rPr>
          <w:rFonts w:ascii="Times New Roman" w:hAnsi="Times New Roman" w:cs="Times New Roman"/>
          <w:sz w:val="24"/>
          <w:szCs w:val="24"/>
        </w:rPr>
        <w:t>,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studies such as this</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lastRenderedPageBreak/>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718A0E7" w:rsidR="0082021C" w:rsidRDefault="0082021C" w:rsidP="00FE2AF3">
      <w:pPr>
        <w:spacing w:line="240" w:lineRule="auto"/>
        <w:rPr>
          <w:rFonts w:ascii="Times New Roman" w:hAnsi="Times New Roman" w:cs="Times New Roman"/>
          <w:b/>
          <w:sz w:val="24"/>
          <w:szCs w:val="24"/>
        </w:rPr>
      </w:pPr>
    </w:p>
    <w:p w14:paraId="7E81FC1B" w14:textId="77777777" w:rsidR="00103DF3" w:rsidRP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(3), 431–436. https://doi.org/10.1038/sj.bjc.6601119</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Bhutani, K., Ideker, T., Lasken, R. S., Carter, H., Harismendy, O., &amp; Schork,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11"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12"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r w:rsidRPr="00886C0A">
        <w:t xml:space="preserve">Cheon, D.-J., Tong, Y., Sim, M.-S., Dering, J., Berel, D., Cui, X., Lester, J., Beach, J. A., Tighiouart, M., Walts, A. E., Karlan, B. Y., &amp; Orsulic,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3"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 xml:space="preserve">Chilamkurthy,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14"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Crc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Life-Tables.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15"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color w:val="000000"/>
          <w:sz w:val="24"/>
          <w:szCs w:val="24"/>
        </w:rPr>
        <w:t xml:space="preserve">Dahiru,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6"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Hennequet-Antier, C., Jeanmougin, M., Servant, N., Keime, C., Marot, G., Castel, D., Estelle, J., Guernec, G., Jagla, B., Jouneau, L., Laloe, D., Le </w:t>
      </w:r>
      <w:r w:rsidRPr="00886C0A">
        <w:lastRenderedPageBreak/>
        <w:t xml:space="preserve">Gall, C., Schaeffer, B., Le Crom, S., Guedj, M., &amp; Jaffrezic,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7"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r w:rsidRPr="00037C80">
        <w:rPr>
          <w:rFonts w:ascii="Times New Roman" w:eastAsia="Times New Roman" w:hAnsi="Times New Roman" w:cs="Times New Roman"/>
          <w:color w:val="000000"/>
          <w:sz w:val="24"/>
          <w:szCs w:val="24"/>
        </w:rPr>
        <w:t>Dipiro,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Pharmacotherapy-- a pathophysiologic approach (10th ed., p. 917). Mcgraw-Hill</w:t>
      </w:r>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r w:rsidR="003658B5" w:rsidRPr="00886C0A">
        <w:rPr>
          <w:color w:val="000000"/>
        </w:rPr>
        <w:t xml:space="preserve">Efron,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18"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r w:rsidRPr="00F7262A">
        <w:rPr>
          <w:rFonts w:ascii="Times New Roman" w:eastAsia="Times New Roman" w:hAnsi="Times New Roman" w:cs="Times New Roman"/>
          <w:i/>
          <w:iCs/>
          <w:color w:val="000000"/>
          <w:sz w:val="24"/>
          <w:szCs w:val="24"/>
        </w:rPr>
        <w:t>Statisical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r w:rsidRPr="008A54B7">
        <w:rPr>
          <w:rFonts w:ascii="Times New Roman" w:eastAsia="Times New Roman" w:hAnsi="Times New Roman" w:cs="Times New Roman"/>
          <w:color w:val="000000"/>
          <w:sz w:val="24"/>
          <w:szCs w:val="24"/>
        </w:rPr>
        <w:t xml:space="preserve">Gamazon,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57A56B35" w:rsidR="00A369B7" w:rsidRDefault="00646509" w:rsidP="003658B5">
      <w:pPr>
        <w:pStyle w:val="NormalWeb"/>
        <w:shd w:val="clear" w:color="auto" w:fill="FFFFFF"/>
        <w:rPr>
          <w:rStyle w:val="Hyperlink"/>
        </w:rPr>
      </w:pPr>
      <w:r w:rsidRPr="00886C0A">
        <w:t>Ganapathi, M. K., Jones, W. D., Sehouli, J., Michener, C. M., Braicu, I. E., Norris, E. J., Biscotti,</w:t>
      </w:r>
      <w:r w:rsidR="003658B5" w:rsidRPr="00886C0A">
        <w:tab/>
      </w:r>
      <w:r w:rsidRPr="00886C0A">
        <w:t>C. V., Vaziri,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9" w:history="1">
        <w:r w:rsidRPr="00886C0A">
          <w:rPr>
            <w:rStyle w:val="Hyperlink"/>
          </w:rPr>
          <w:t>https://doi.org/10.1002/ijc.29815</w:t>
        </w:r>
      </w:hyperlink>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20"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6FA2E320"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21" w:history="1">
        <w:r w:rsidR="00590C65" w:rsidRPr="000F646F">
          <w:rPr>
            <w:rStyle w:val="Hyperlink"/>
          </w:rPr>
          <w:t>https://ghr.nlm.nih.gov/primer/basics/gene</w:t>
        </w:r>
      </w:hyperlink>
    </w:p>
    <w:p w14:paraId="56F035DD" w14:textId="584F4736" w:rsidR="00A35728" w:rsidRDefault="00A35728" w:rsidP="00A369B7">
      <w:pPr>
        <w:pStyle w:val="NormalWeb"/>
        <w:shd w:val="clear" w:color="auto" w:fill="FFFFFF"/>
        <w:spacing w:before="0" w:beforeAutospacing="0" w:after="0" w:afterAutospacing="0"/>
        <w:ind w:left="720" w:hanging="720"/>
        <w:rPr>
          <w:rStyle w:val="Hyperlink"/>
        </w:rPr>
      </w:pPr>
    </w:p>
    <w:p w14:paraId="746BB9FB" w14:textId="1A61BC51" w:rsidR="00A35728" w:rsidRDefault="00A35728" w:rsidP="00A35728">
      <w:pPr>
        <w:shd w:val="clear" w:color="auto" w:fill="FFFFFF"/>
        <w:spacing w:after="0" w:line="240" w:lineRule="auto"/>
        <w:ind w:left="720" w:hanging="720"/>
        <w:rPr>
          <w:rStyle w:val="Hyperlink"/>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The Analysis Factor. https://www.theanalysisfactor.com/the-six-types-of-survival-analysis-and-challenges-in-learning-them/</w:t>
      </w:r>
    </w:p>
    <w:p w14:paraId="4F11D6A9" w14:textId="7A64E4F0" w:rsidR="00514F77" w:rsidRDefault="00514F77" w:rsidP="00A369B7">
      <w:pPr>
        <w:pStyle w:val="NormalWeb"/>
        <w:shd w:val="clear" w:color="auto" w:fill="FFFFFF"/>
        <w:spacing w:before="0" w:beforeAutospacing="0" w:after="0" w:afterAutospacing="0"/>
        <w:ind w:left="720" w:hanging="720"/>
        <w:rPr>
          <w:rStyle w:val="Hyperlink"/>
        </w:rPr>
      </w:pP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r w:rsidRPr="00514F77">
        <w:rPr>
          <w:rFonts w:ascii="Times New Roman" w:eastAsia="Times New Roman" w:hAnsi="Times New Roman" w:cs="Times New Roman"/>
          <w:color w:val="000000"/>
          <w:sz w:val="24"/>
          <w:szCs w:val="24"/>
        </w:rPr>
        <w:t xml:space="preserve">Holohan, C., Van Schaeybroeck,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22"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r w:rsidR="00646509" w:rsidRPr="00886C0A">
        <w:t>Januchowski, R., Świerczewska, M., Sterzyńska, K., Wojtowicz, K., Nowicki, M., &amp; Zabel, M.</w:t>
      </w:r>
      <w:r w:rsidRPr="00886C0A">
        <w:tab/>
      </w:r>
      <w:r w:rsidR="00646509" w:rsidRPr="00886C0A">
        <w:t>(2016). Increased Expression of Several Collagen Genes is Associated with Drug</w:t>
      </w:r>
      <w:r w:rsidRPr="00886C0A">
        <w:lastRenderedPageBreak/>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23" w:history="1">
        <w:r w:rsidRPr="00886C0A">
          <w:rPr>
            <w:rStyle w:val="Hyperlink"/>
          </w:rPr>
          <w:t>https://doi.org/10.7150/jca.15371</w:t>
        </w:r>
      </w:hyperlink>
    </w:p>
    <w:p w14:paraId="026E1189" w14:textId="49C7357E"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Jiang, Y., Wang, R., Urrutia, E., Anastopoulos,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24" w:history="1">
        <w:r w:rsidRPr="00344602">
          <w:rPr>
            <w:rStyle w:val="Hyperlink"/>
            <w:rFonts w:ascii="Times New Roman" w:eastAsia="Times New Roman" w:hAnsi="Times New Roman" w:cs="Times New Roman"/>
            <w:sz w:val="24"/>
            <w:szCs w:val="24"/>
          </w:rPr>
          <w:t>https://doi.org/10.1186/s13059-018-1578-y</w:t>
        </w:r>
      </w:hyperlink>
    </w:p>
    <w:p w14:paraId="7A5BF9E9" w14:textId="358F695D" w:rsidR="00755334" w:rsidRDefault="00755334" w:rsidP="00344602">
      <w:pPr>
        <w:shd w:val="clear" w:color="auto" w:fill="FFFFFF"/>
        <w:spacing w:after="0" w:line="240" w:lineRule="auto"/>
        <w:rPr>
          <w:rStyle w:val="Hyperlink"/>
          <w:rFonts w:ascii="Times New Roman" w:eastAsia="Times New Roman" w:hAnsi="Times New Roman" w:cs="Times New Roman"/>
          <w:sz w:val="24"/>
          <w:szCs w:val="24"/>
        </w:rPr>
      </w:pPr>
    </w:p>
    <w:p w14:paraId="59C9E93A" w14:textId="0D707745" w:rsidR="00755334" w:rsidRDefault="0075533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25" w:history="1">
        <w:r w:rsidR="000B4DD5" w:rsidRPr="00762BF1">
          <w:rPr>
            <w:rStyle w:val="Hyperlink"/>
            <w:rFonts w:ascii="Times New Roman" w:eastAsia="Times New Roman" w:hAnsi="Times New Roman" w:cs="Times New Roman"/>
            <w:sz w:val="24"/>
            <w:szCs w:val="24"/>
          </w:rPr>
          <w:t>https://doi.org/10.1080/01621459.1958.10501452</w:t>
        </w:r>
      </w:hyperlink>
    </w:p>
    <w:p w14:paraId="2EBAE008" w14:textId="473AEC7A"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3A8EF1B7" w14:textId="6B6D54F6" w:rsidR="000B4DD5" w:rsidRDefault="000B4DD5" w:rsidP="00755334">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https://www.youtube.com/watch?v=sJPti8Yh4k4</w:t>
      </w:r>
    </w:p>
    <w:p w14:paraId="54BA1D37" w14:textId="02FFBB33" w:rsidR="00B73290" w:rsidRDefault="00B73290" w:rsidP="00344602">
      <w:pPr>
        <w:shd w:val="clear" w:color="auto" w:fill="FFFFFF"/>
        <w:spacing w:after="0" w:line="240" w:lineRule="auto"/>
        <w:rPr>
          <w:rStyle w:val="Hyperlink"/>
          <w:rFonts w:ascii="Times New Roman" w:eastAsia="Times New Roman" w:hAnsi="Times New Roman" w:cs="Times New Roman"/>
          <w:sz w:val="24"/>
          <w:szCs w:val="24"/>
        </w:rPr>
      </w:pP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B73290">
        <w:rPr>
          <w:rFonts w:ascii="Times New Roman" w:eastAsia="Times New Roman" w:hAnsi="Times New Roman" w:cs="Times New Roman"/>
          <w:color w:val="000000"/>
          <w:sz w:val="24"/>
          <w:szCs w:val="24"/>
        </w:rPr>
        <w:t xml:space="preserve">Kleinbaum, D. G., &amp; Klein, M. (2012). </w:t>
      </w:r>
      <w:r w:rsidRPr="00B73290">
        <w:rPr>
          <w:rFonts w:ascii="Times New Roman" w:eastAsia="Times New Roman" w:hAnsi="Times New Roman" w:cs="Times New Roman"/>
          <w:i/>
          <w:iCs/>
          <w:color w:val="000000"/>
          <w:sz w:val="24"/>
          <w:szCs w:val="24"/>
        </w:rPr>
        <w:t>Survival analysis :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Kudryavtseva, A. V., Snezhkina, A. V., Lakunina, V. A., Beniaminov, A. D., Melnikova, N. V., &amp; Dmitriev,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26"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F6713F">
        <w:rPr>
          <w:rFonts w:ascii="Times New Roman" w:eastAsia="Times New Roman" w:hAnsi="Times New Roman" w:cs="Times New Roman"/>
          <w:color w:val="000000"/>
          <w:sz w:val="24"/>
          <w:szCs w:val="24"/>
        </w:rPr>
        <w:t xml:space="preserve">LaMorte,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Sphweb.Bumc.Bu.Edu;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Roylance, R., Sander, J., Gorman, P., Endesfelder, D., Kschischo, M., Jones, N. P., East, P., Nicke, B., Spassieva, S., Obeid, L. M., Birkbak, N. J., Szallasi, Z., McKnight, N. C., Rowan, A. J., Speirs, V., Hanby, A. M., Downward, J., Tooze, S. A., &amp; Swanton, C. (2011).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27"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0F2D3C1B" w14:textId="2B286A57" w:rsidR="00646509"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Cherniack, A. D., Kovatich, A. J., Benz, C. C., Levine, D. A., Lee, A. V., Omberg, L., Wolf, D. M., Shriver, C. D., Thorsson, V., Hu, H., Caesar-Johnson, S. J., Demchok, J. A., Felau, I., Kasapi, M., … Mariamidze,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28" w:history="1">
        <w:r w:rsidRPr="00886C0A">
          <w:rPr>
            <w:rStyle w:val="Hyperlink"/>
          </w:rPr>
          <w:t>https://doi.org/10.1016/j.cell.2018.02.052</w:t>
        </w:r>
      </w:hyperlink>
      <w:r w:rsidR="008A5AB3">
        <w:rPr>
          <w:rStyle w:val="Hyperlink"/>
        </w:rPr>
        <w:br/>
      </w:r>
    </w:p>
    <w:p w14:paraId="5DEFA3A9" w14:textId="49F1AC84" w:rsid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Www.Ncbi.Nlm.Nih.Gov; NCBI. </w:t>
      </w:r>
      <w:hyperlink r:id="rId29" w:history="1">
        <w:r w:rsidR="00977390" w:rsidRPr="00E730C2">
          <w:rPr>
            <w:rStyle w:val="Hyperlink"/>
            <w:rFonts w:ascii="Times New Roman" w:eastAsia="Times New Roman" w:hAnsi="Times New Roman" w:cs="Times New Roman"/>
            <w:sz w:val="24"/>
            <w:szCs w:val="24"/>
          </w:rPr>
          <w:t>https://www.ncbi.nlm.nih.gov/gene/1303</w:t>
        </w:r>
      </w:hyperlink>
    </w:p>
    <w:p w14:paraId="57008757" w14:textId="21CA8789"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71BE5C80" w14:textId="7FFAFB9A" w:rsidR="00977390" w:rsidRPr="008A5AB3"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(50), 157–175. http://www.economics.soton.ac.uk/staff/aldrich/1900.pdf</w:t>
      </w:r>
    </w:p>
    <w:p w14:paraId="58DB0C0E" w14:textId="152A42A9" w:rsidR="00960894" w:rsidRPr="00960894" w:rsidRDefault="008A5AB3" w:rsidP="008A5AB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A5AB3">
        <w:rPr>
          <w:rFonts w:ascii="Times New Roman" w:eastAsia="Times New Roman" w:hAnsi="Times New Roman" w:cs="Times New Roman"/>
          <w:color w:val="000000"/>
          <w:sz w:val="24"/>
          <w:szCs w:val="24"/>
        </w:rPr>
        <w:lastRenderedPageBreak/>
        <w:t>‌</w:t>
      </w:r>
      <w:r w:rsidR="00960894" w:rsidRPr="00960894">
        <w:rPr>
          <w:rFonts w:ascii="Times New Roman" w:eastAsia="Times New Roman" w:hAnsi="Times New Roman" w:cs="Times New Roman"/>
          <w:color w:val="000000"/>
          <w:sz w:val="24"/>
          <w:szCs w:val="24"/>
        </w:rPr>
        <w:t>Prinja,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Indian Journal of Community Medicine :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Ricciardelli,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30"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 xml:space="preserve">Rich, J. T., Neely, J. G., Paniello, R. C., Voelker, C. C. J., Nussenbaum,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4C90699D" w:rsidR="00C84892" w:rsidRDefault="00757E88" w:rsidP="00757E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Rocher, L., Hendrickx, J. M., &amp; de Montjoye,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31" w:history="1">
        <w:r w:rsidR="00C84892" w:rsidRPr="00636B86">
          <w:rPr>
            <w:rStyle w:val="Hyperlink"/>
            <w:rFonts w:ascii="Times New Roman" w:eastAsia="Times New Roman" w:hAnsi="Times New Roman" w:cs="Times New Roman"/>
            <w:sz w:val="24"/>
            <w:szCs w:val="24"/>
          </w:rPr>
          <w:t>https://doi.org/10.1038/s41467-019-10933-3</w:t>
        </w:r>
      </w:hyperlink>
    </w:p>
    <w:p w14:paraId="0B1DBF26" w14:textId="77777777"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32" w:history="1">
        <w:r w:rsidR="00CC7C37" w:rsidRPr="00AF7090">
          <w:rPr>
            <w:rStyle w:val="Hyperlink"/>
          </w:rPr>
          <w:t>https://doi.org/10.1213/ane.0000000000003653</w:t>
        </w:r>
      </w:hyperlink>
    </w:p>
    <w:p w14:paraId="5E0279BD" w14:textId="77777777" w:rsidR="00CC7C37" w:rsidRDefault="00CC7C37" w:rsidP="00CC7C37">
      <w:pPr>
        <w:pStyle w:val="NormalWeb"/>
        <w:shd w:val="clear" w:color="auto" w:fill="FFFFFF"/>
        <w:spacing w:before="0" w:beforeAutospacing="0" w:after="0" w:afterAutospacing="0"/>
        <w:ind w:left="720" w:hanging="720"/>
        <w:rPr>
          <w:color w:val="000000"/>
        </w:rPr>
      </w:pPr>
    </w:p>
    <w:p w14:paraId="1EF48983" w14:textId="0F3ACE21" w:rsidR="00CC7C37" w:rsidRPr="00CC7C37" w:rsidRDefault="00CC7C37" w:rsidP="00CC7C37">
      <w:pPr>
        <w:pStyle w:val="NormalWeb"/>
        <w:shd w:val="clear" w:color="auto" w:fill="FFFFFF"/>
        <w:spacing w:before="0" w:beforeAutospacing="0" w:after="0" w:afterAutospacing="0"/>
        <w:ind w:left="720" w:hanging="720"/>
        <w:rPr>
          <w:color w:val="000000"/>
        </w:rPr>
      </w:pPr>
      <w:r w:rsidRPr="00CC7C37">
        <w:rPr>
          <w:color w:val="000000"/>
        </w:rPr>
        <w:t xml:space="preserve">Sharp, A. J., Locke, D. P., McGrath, S. D., Cheng, Z., Bailey, J. A., Vallente, R. U., Pertz, L. M., Clark, R. A., Schwartz, S., Segraves, R., Oseroff,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(1), 78–88. https://doi.org/10.1086/431652</w:t>
      </w:r>
    </w:p>
    <w:p w14:paraId="01799422" w14:textId="0363D4D4" w:rsidR="00646509" w:rsidRPr="00CC7C37" w:rsidRDefault="00CC7C37"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r w:rsidRPr="00CC7C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Spainhour, J. C. G., &amp; Qiu,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33"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4F64E4B1" w14:textId="77777777" w:rsidR="00351CE5" w:rsidRP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r w:rsidRPr="00351CE5">
        <w:rPr>
          <w:rFonts w:ascii="Times New Roman" w:eastAsia="Times New Roman" w:hAnsi="Times New Roman" w:cs="Times New Roman"/>
          <w:color w:val="000000"/>
          <w:sz w:val="24"/>
          <w:szCs w:val="24"/>
        </w:rPr>
        <w:t xml:space="preserve">Sutradhar,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(1), 54–57. https://doi.org/10.1016/j.annepidem.2017.10.014</w:t>
      </w:r>
    </w:p>
    <w:p w14:paraId="769FD942" w14:textId="2A0AE120" w:rsidR="00284592" w:rsidRPr="00284592" w:rsidRDefault="00351CE5" w:rsidP="00351CE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51CE5">
        <w:rPr>
          <w:rFonts w:ascii="Times New Roman" w:eastAsia="Times New Roman" w:hAnsi="Times New Roman" w:cs="Times New Roman"/>
          <w:color w:val="000000"/>
          <w:sz w:val="24"/>
          <w:szCs w:val="24"/>
        </w:rPr>
        <w:t>‌</w:t>
      </w:r>
      <w:r w:rsidR="00284592" w:rsidRPr="00284592">
        <w:rPr>
          <w:rFonts w:ascii="Times New Roman" w:eastAsia="Times New Roman" w:hAnsi="Times New Roman" w:cs="Times New Roman"/>
          <w:color w:val="000000"/>
          <w:sz w:val="24"/>
          <w:szCs w:val="24"/>
        </w:rPr>
        <w:t xml:space="preserve">TCGA - Ovarian Serous Adenocarcinoma Study. (2018, September 5). </w:t>
      </w:r>
      <w:hyperlink r:id="rId34" w:history="1">
        <w:r w:rsidR="00284592" w:rsidRPr="00284592">
          <w:rPr>
            <w:rStyle w:val="Hyperlink"/>
            <w:rFonts w:ascii="Times New Roman" w:eastAsia="Times New Roman" w:hAnsi="Times New Roman" w:cs="Times New Roman"/>
            <w:sz w:val="24"/>
            <w:szCs w:val="24"/>
          </w:rPr>
          <w:t>Www.Cancer.Gov</w:t>
        </w:r>
      </w:hyperlink>
      <w:r w:rsidR="00284592" w:rsidRPr="00284592">
        <w:rPr>
          <w:rFonts w:ascii="Times New Roman" w:eastAsia="Times New Roman" w:hAnsi="Times New Roman" w:cs="Times New Roman"/>
          <w:color w:val="000000"/>
          <w:sz w:val="24"/>
          <w:szCs w:val="24"/>
        </w:rPr>
        <w:t>.</w:t>
      </w:r>
      <w:r w:rsidR="00284592">
        <w:rPr>
          <w:rFonts w:ascii="Times New Roman" w:eastAsia="Times New Roman" w:hAnsi="Times New Roman" w:cs="Times New Roman"/>
          <w:color w:val="000000"/>
          <w:sz w:val="24"/>
          <w:szCs w:val="24"/>
        </w:rPr>
        <w:tab/>
      </w:r>
      <w:hyperlink r:id="rId35" w:history="1">
        <w:r w:rsidR="00284592" w:rsidRPr="00284592">
          <w:rPr>
            <w:rStyle w:val="Hyperlink"/>
            <w:rFonts w:ascii="Times New Roman" w:eastAsia="Times New Roman" w:hAnsi="Times New Roman" w:cs="Times New Roman"/>
            <w:sz w:val="24"/>
            <w:szCs w:val="24"/>
          </w:rPr>
          <w:t>https://www.cancer.gov/about-nci/organization/ccg/research/structural</w:t>
        </w:r>
      </w:hyperlink>
      <w:r w:rsidR="00284592">
        <w:rPr>
          <w:rFonts w:ascii="Times New Roman" w:eastAsia="Times New Roman" w:hAnsi="Times New Roman" w:cs="Times New Roman"/>
          <w:color w:val="000000"/>
          <w:sz w:val="24"/>
          <w:szCs w:val="24"/>
        </w:rPr>
        <w:tab/>
      </w:r>
      <w:r w:rsidR="00284592" w:rsidRPr="00284592">
        <w:rPr>
          <w:rFonts w:ascii="Times New Roman" w:eastAsia="Times New Roman" w:hAnsi="Times New Roman" w:cs="Times New Roman"/>
          <w:color w:val="000000"/>
          <w:sz w:val="24"/>
          <w:szCs w:val="24"/>
        </w:rPr>
        <w:t>genomics/tcga/studied-cancers/ovarian</w:t>
      </w:r>
      <w:r w:rsidR="00284592">
        <w:rPr>
          <w:rFonts w:ascii="Times New Roman" w:eastAsia="Times New Roman" w:hAnsi="Times New Roman" w:cs="Times New Roman"/>
          <w:color w:val="000000"/>
          <w:sz w:val="24"/>
          <w:szCs w:val="24"/>
        </w:rPr>
        <w:br/>
      </w:r>
      <w:r w:rsidR="00284592" w:rsidRPr="00284592">
        <w:rPr>
          <w:rFonts w:ascii="Times New Roman" w:eastAsia="Times New Roman" w:hAnsi="Times New Roman" w:cs="Times New Roman"/>
          <w:color w:val="000000"/>
          <w:sz w:val="24"/>
          <w:szCs w:val="24"/>
        </w:rPr>
        <w:t>‌</w:t>
      </w:r>
    </w:p>
    <w:p w14:paraId="30349526" w14:textId="06661281" w:rsidR="00646509" w:rsidRDefault="00646509" w:rsidP="00646509">
      <w:pPr>
        <w:pStyle w:val="NormalWeb"/>
        <w:spacing w:before="0" w:beforeAutospacing="0" w:after="0" w:afterAutospacing="0"/>
        <w:ind w:left="720" w:hanging="720"/>
        <w:rPr>
          <w:rStyle w:val="Hyperlink"/>
        </w:rPr>
      </w:pPr>
      <w:r w:rsidRPr="00886C0A">
        <w:t xml:space="preserve">Teng, P.-N., Wang, G., Hood, B. L., Conrads, K. A., Hamilton, C. A., Maxwell, G. L., Darcy, K. M., &amp; Conrads, T. P. (2013). Identification of candidate circulating cisplatin-resistant biomarkers from epithelial ovarian carcinoma cell secretomes. </w:t>
      </w:r>
      <w:r w:rsidRPr="00886C0A">
        <w:rPr>
          <w:i/>
          <w:iCs/>
        </w:rPr>
        <w:t>British Journal of Cancer</w:t>
      </w:r>
      <w:r w:rsidRPr="00886C0A">
        <w:t xml:space="preserve">, </w:t>
      </w:r>
      <w:r w:rsidRPr="00886C0A">
        <w:rPr>
          <w:i/>
          <w:iCs/>
        </w:rPr>
        <w:t>110</w:t>
      </w:r>
      <w:r w:rsidRPr="00886C0A">
        <w:t xml:space="preserve">(1), 123–132. </w:t>
      </w:r>
      <w:hyperlink r:id="rId36" w:history="1">
        <w:r w:rsidRPr="00886C0A">
          <w:rPr>
            <w:rStyle w:val="Hyperlink"/>
          </w:rPr>
          <w:t>https://doi.org/10.1038/bjc.2013.687</w:t>
        </w:r>
      </w:hyperlink>
    </w:p>
    <w:p w14:paraId="14E08B86" w14:textId="0555510D" w:rsidR="001A52C8" w:rsidRDefault="001A52C8" w:rsidP="00646509">
      <w:pPr>
        <w:pStyle w:val="NormalWeb"/>
        <w:spacing w:before="0" w:beforeAutospacing="0" w:after="0" w:afterAutospacing="0"/>
        <w:ind w:left="720" w:hanging="720"/>
        <w:rPr>
          <w:rStyle w:val="Hyperlink"/>
        </w:rPr>
      </w:pPr>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lastRenderedPageBreak/>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37"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38"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39"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r w:rsidRPr="00B36208">
        <w:rPr>
          <w:rFonts w:ascii="Times New Roman" w:eastAsia="Times New Roman" w:hAnsi="Times New Roman" w:cs="Times New Roman"/>
          <w:color w:val="000000"/>
          <w:sz w:val="24"/>
          <w:szCs w:val="24"/>
        </w:rPr>
        <w:t xml:space="preserve">Tibshirani,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Ulrich, T. (2016, September 13). Opinionome: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40"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6CCE1EBC" w:rsidR="00193971" w:rsidRPr="00886C0A"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Minet, T., Ochoa, A., Gross, B. E., Iacobuzio-Donahue,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(1). https://doi.org/10.1038/sdata.2018.61‌</w:t>
      </w: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Karlins, E., Phung, T. N., Richmond, P. A., Whitford, W., &amp; Wilson, M. A. (2019). Identifying, understanding, and correcting technical artifacts on the sex chromosomes in next-generation sequencing data. </w:t>
      </w:r>
      <w:r w:rsidRPr="00886C0A">
        <w:rPr>
          <w:rFonts w:ascii="Times New Roman" w:eastAsia="Times New Roman" w:hAnsi="Times New Roman" w:cs="Times New Roman"/>
          <w:i/>
          <w:iCs/>
          <w:color w:val="000000"/>
          <w:sz w:val="24"/>
          <w:szCs w:val="24"/>
        </w:rPr>
        <w:t>GigaScience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41"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42" w:history="1">
        <w:r w:rsidR="00A95F11" w:rsidRPr="00886C0A">
          <w:rPr>
            <w:rStyle w:val="Hyperlink"/>
            <w:rFonts w:ascii="Times New Roman" w:hAnsi="Times New Roman" w:cs="Times New Roman"/>
            <w:sz w:val="24"/>
            <w:szCs w:val="24"/>
          </w:rPr>
          <w:t>https://doi.org/10.1038/onc.2013.307</w:t>
        </w:r>
      </w:hyperlink>
    </w:p>
    <w:p w14:paraId="05FC6812" w14:textId="77777777" w:rsidR="00646509" w:rsidRPr="00886C0A"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(1). https://doi.org/10.1186/s12967-019-2058-1</w:t>
      </w: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1D6735CC" w:rsidR="008D2B7E"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24628" cy="3532895"/>
                    </a:xfrm>
                    <a:prstGeom prst="rect">
                      <a:avLst/>
                    </a:prstGeom>
                  </pic:spPr>
                </pic:pic>
              </a:graphicData>
            </a:graphic>
          </wp:inline>
        </w:drawing>
      </w:r>
      <w:r w:rsidR="008D2B7E">
        <w:rPr>
          <w:rFonts w:ascii="Times New Roman" w:hAnsi="Times New Roman" w:cs="Times New Roman"/>
          <w:bCs/>
          <w:sz w:val="24"/>
          <w:szCs w:val="24"/>
        </w:rPr>
        <w:br/>
      </w:r>
      <w:r w:rsidR="008D2B7E">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5E636101" w14:textId="2F62E356"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4366DAF8" w14:textId="3431324C"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4503EEED" w14:textId="77777777" w:rsidR="00664E2F" w:rsidRP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7DFC8BA4"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33135CC1"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(GTEx)</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71FBFBA3"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(MeSH)</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08EC8B1B"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75A13118" w14:textId="3943E7A0"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01D720E0" w:rsidR="0093431E" w:rsidRDefault="0093431E"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Ribonucleic Acid (RNA)</w:t>
      </w:r>
    </w:p>
    <w:p w14:paraId="4FFC64E9"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5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214DD" w14:textId="77777777" w:rsidR="00544ACC" w:rsidRDefault="00544ACC">
      <w:pPr>
        <w:spacing w:after="0" w:line="240" w:lineRule="auto"/>
      </w:pPr>
      <w:r>
        <w:separator/>
      </w:r>
    </w:p>
  </w:endnote>
  <w:endnote w:type="continuationSeparator" w:id="0">
    <w:p w14:paraId="2476E370" w14:textId="77777777" w:rsidR="00544ACC" w:rsidRDefault="0054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70758"/>
      <w:docPartObj>
        <w:docPartGallery w:val="Page Numbers (Bottom of Page)"/>
        <w:docPartUnique/>
      </w:docPartObj>
    </w:sdtPr>
    <w:sdtEndPr>
      <w:rPr>
        <w:noProof/>
      </w:rPr>
    </w:sdtEndPr>
    <w:sdtContent>
      <w:p w14:paraId="28EC83B8" w14:textId="7395EA43"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012BF90"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E6D9" w14:textId="77777777" w:rsidR="00544ACC" w:rsidRDefault="00544ACC">
      <w:pPr>
        <w:spacing w:after="0" w:line="240" w:lineRule="auto"/>
      </w:pPr>
      <w:r>
        <w:separator/>
      </w:r>
    </w:p>
  </w:footnote>
  <w:footnote w:type="continuationSeparator" w:id="0">
    <w:p w14:paraId="081F0242" w14:textId="77777777" w:rsidR="00544ACC" w:rsidRDefault="0054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4FBC"/>
    <w:rsid w:val="00005E52"/>
    <w:rsid w:val="00012169"/>
    <w:rsid w:val="00012CD1"/>
    <w:rsid w:val="00017455"/>
    <w:rsid w:val="000239BE"/>
    <w:rsid w:val="00024A20"/>
    <w:rsid w:val="000329B2"/>
    <w:rsid w:val="00037C80"/>
    <w:rsid w:val="00041EB0"/>
    <w:rsid w:val="00041F48"/>
    <w:rsid w:val="0004285E"/>
    <w:rsid w:val="00050ED1"/>
    <w:rsid w:val="00052110"/>
    <w:rsid w:val="000532B0"/>
    <w:rsid w:val="00054D97"/>
    <w:rsid w:val="000554B6"/>
    <w:rsid w:val="0007678B"/>
    <w:rsid w:val="00081167"/>
    <w:rsid w:val="0008637D"/>
    <w:rsid w:val="00097473"/>
    <w:rsid w:val="000A0E55"/>
    <w:rsid w:val="000A2206"/>
    <w:rsid w:val="000A3A37"/>
    <w:rsid w:val="000B4DD5"/>
    <w:rsid w:val="000B5F8C"/>
    <w:rsid w:val="000C008D"/>
    <w:rsid w:val="000C0C84"/>
    <w:rsid w:val="000C0DB5"/>
    <w:rsid w:val="000C1B63"/>
    <w:rsid w:val="000C2097"/>
    <w:rsid w:val="000C377E"/>
    <w:rsid w:val="000C4535"/>
    <w:rsid w:val="000C68DA"/>
    <w:rsid w:val="000C714D"/>
    <w:rsid w:val="000D1046"/>
    <w:rsid w:val="000D3FF7"/>
    <w:rsid w:val="000D46FE"/>
    <w:rsid w:val="000E3D65"/>
    <w:rsid w:val="00103DF3"/>
    <w:rsid w:val="00111199"/>
    <w:rsid w:val="001111FB"/>
    <w:rsid w:val="00113DB7"/>
    <w:rsid w:val="00114ACF"/>
    <w:rsid w:val="001154DC"/>
    <w:rsid w:val="00115AED"/>
    <w:rsid w:val="001179BF"/>
    <w:rsid w:val="001223D7"/>
    <w:rsid w:val="0012251A"/>
    <w:rsid w:val="00122DDE"/>
    <w:rsid w:val="00122FC1"/>
    <w:rsid w:val="001302D8"/>
    <w:rsid w:val="001350E2"/>
    <w:rsid w:val="001420A4"/>
    <w:rsid w:val="00145B1C"/>
    <w:rsid w:val="001500DE"/>
    <w:rsid w:val="00155331"/>
    <w:rsid w:val="00161F00"/>
    <w:rsid w:val="00162857"/>
    <w:rsid w:val="00163C85"/>
    <w:rsid w:val="001643BC"/>
    <w:rsid w:val="001646BE"/>
    <w:rsid w:val="00165147"/>
    <w:rsid w:val="00166B67"/>
    <w:rsid w:val="00167D31"/>
    <w:rsid w:val="00170BA5"/>
    <w:rsid w:val="00180782"/>
    <w:rsid w:val="001808D8"/>
    <w:rsid w:val="00186137"/>
    <w:rsid w:val="001915F3"/>
    <w:rsid w:val="00191B29"/>
    <w:rsid w:val="00193971"/>
    <w:rsid w:val="00197D31"/>
    <w:rsid w:val="001A4553"/>
    <w:rsid w:val="001A52C8"/>
    <w:rsid w:val="001A5C47"/>
    <w:rsid w:val="001A7C1E"/>
    <w:rsid w:val="001B01D4"/>
    <w:rsid w:val="001B3443"/>
    <w:rsid w:val="001B4018"/>
    <w:rsid w:val="001B7CCF"/>
    <w:rsid w:val="001C08C5"/>
    <w:rsid w:val="001C1FD9"/>
    <w:rsid w:val="001D344F"/>
    <w:rsid w:val="001E00BF"/>
    <w:rsid w:val="001E0390"/>
    <w:rsid w:val="001E0DB5"/>
    <w:rsid w:val="001E139E"/>
    <w:rsid w:val="001E6E2D"/>
    <w:rsid w:val="001F0D31"/>
    <w:rsid w:val="001F36AE"/>
    <w:rsid w:val="001F577B"/>
    <w:rsid w:val="002022F7"/>
    <w:rsid w:val="00206D0B"/>
    <w:rsid w:val="00207662"/>
    <w:rsid w:val="00207CA8"/>
    <w:rsid w:val="00211DE1"/>
    <w:rsid w:val="002145C5"/>
    <w:rsid w:val="0021543C"/>
    <w:rsid w:val="002207DD"/>
    <w:rsid w:val="00231CAE"/>
    <w:rsid w:val="002429E7"/>
    <w:rsid w:val="00245780"/>
    <w:rsid w:val="00253616"/>
    <w:rsid w:val="002552A3"/>
    <w:rsid w:val="00255EFB"/>
    <w:rsid w:val="0027513B"/>
    <w:rsid w:val="00280404"/>
    <w:rsid w:val="00283B4E"/>
    <w:rsid w:val="00284592"/>
    <w:rsid w:val="00287EB2"/>
    <w:rsid w:val="0029059A"/>
    <w:rsid w:val="00290CB0"/>
    <w:rsid w:val="0029659B"/>
    <w:rsid w:val="00296722"/>
    <w:rsid w:val="002A6BF6"/>
    <w:rsid w:val="002A7648"/>
    <w:rsid w:val="002B03E0"/>
    <w:rsid w:val="002B3B1A"/>
    <w:rsid w:val="002C247C"/>
    <w:rsid w:val="002D2C4E"/>
    <w:rsid w:val="002D30F8"/>
    <w:rsid w:val="002D6930"/>
    <w:rsid w:val="002E24DD"/>
    <w:rsid w:val="002F6C9B"/>
    <w:rsid w:val="00301D10"/>
    <w:rsid w:val="00302CDB"/>
    <w:rsid w:val="003103AC"/>
    <w:rsid w:val="00311D2F"/>
    <w:rsid w:val="0031354D"/>
    <w:rsid w:val="00316DAE"/>
    <w:rsid w:val="0032713D"/>
    <w:rsid w:val="003362D4"/>
    <w:rsid w:val="00336DAA"/>
    <w:rsid w:val="003409FF"/>
    <w:rsid w:val="00344602"/>
    <w:rsid w:val="00344B76"/>
    <w:rsid w:val="003451F7"/>
    <w:rsid w:val="0035181F"/>
    <w:rsid w:val="00351CE5"/>
    <w:rsid w:val="00353DBA"/>
    <w:rsid w:val="00360B38"/>
    <w:rsid w:val="003658B5"/>
    <w:rsid w:val="003674A8"/>
    <w:rsid w:val="00374EAA"/>
    <w:rsid w:val="00375B85"/>
    <w:rsid w:val="00377959"/>
    <w:rsid w:val="0038002F"/>
    <w:rsid w:val="0038070F"/>
    <w:rsid w:val="00380A12"/>
    <w:rsid w:val="003844DD"/>
    <w:rsid w:val="00384830"/>
    <w:rsid w:val="0038778F"/>
    <w:rsid w:val="0039173D"/>
    <w:rsid w:val="003962ED"/>
    <w:rsid w:val="003A1879"/>
    <w:rsid w:val="003A40F0"/>
    <w:rsid w:val="003A487E"/>
    <w:rsid w:val="003A5193"/>
    <w:rsid w:val="003B025B"/>
    <w:rsid w:val="003B12F3"/>
    <w:rsid w:val="003B1CC8"/>
    <w:rsid w:val="003B2CC1"/>
    <w:rsid w:val="003C14AF"/>
    <w:rsid w:val="003C1A36"/>
    <w:rsid w:val="003D11E8"/>
    <w:rsid w:val="003D163D"/>
    <w:rsid w:val="003E04C9"/>
    <w:rsid w:val="003E6BAC"/>
    <w:rsid w:val="003E725E"/>
    <w:rsid w:val="003F1A23"/>
    <w:rsid w:val="003F4432"/>
    <w:rsid w:val="004033C0"/>
    <w:rsid w:val="00407462"/>
    <w:rsid w:val="00412909"/>
    <w:rsid w:val="0041310E"/>
    <w:rsid w:val="00414350"/>
    <w:rsid w:val="00420133"/>
    <w:rsid w:val="00420760"/>
    <w:rsid w:val="00423318"/>
    <w:rsid w:val="00424013"/>
    <w:rsid w:val="0043385D"/>
    <w:rsid w:val="0044024C"/>
    <w:rsid w:val="00440800"/>
    <w:rsid w:val="00441C3E"/>
    <w:rsid w:val="00442752"/>
    <w:rsid w:val="00443F13"/>
    <w:rsid w:val="00445864"/>
    <w:rsid w:val="004475D4"/>
    <w:rsid w:val="00453067"/>
    <w:rsid w:val="00462327"/>
    <w:rsid w:val="004641FC"/>
    <w:rsid w:val="0046547B"/>
    <w:rsid w:val="004672DF"/>
    <w:rsid w:val="004673E6"/>
    <w:rsid w:val="00472977"/>
    <w:rsid w:val="00473E6F"/>
    <w:rsid w:val="00474505"/>
    <w:rsid w:val="00474930"/>
    <w:rsid w:val="00477346"/>
    <w:rsid w:val="004777B6"/>
    <w:rsid w:val="004816AD"/>
    <w:rsid w:val="00490D82"/>
    <w:rsid w:val="0049486C"/>
    <w:rsid w:val="00494F58"/>
    <w:rsid w:val="004A383C"/>
    <w:rsid w:val="004A5297"/>
    <w:rsid w:val="004B1F82"/>
    <w:rsid w:val="004B79ED"/>
    <w:rsid w:val="004C162B"/>
    <w:rsid w:val="004C274C"/>
    <w:rsid w:val="004C4256"/>
    <w:rsid w:val="004C5BBF"/>
    <w:rsid w:val="004C71EE"/>
    <w:rsid w:val="004D0A29"/>
    <w:rsid w:val="004D19DB"/>
    <w:rsid w:val="004D19F1"/>
    <w:rsid w:val="004D22B2"/>
    <w:rsid w:val="004E42A5"/>
    <w:rsid w:val="004E474C"/>
    <w:rsid w:val="004E5A3C"/>
    <w:rsid w:val="004E64CE"/>
    <w:rsid w:val="004E6CF0"/>
    <w:rsid w:val="004E6E7C"/>
    <w:rsid w:val="004E7228"/>
    <w:rsid w:val="004E7612"/>
    <w:rsid w:val="004F6958"/>
    <w:rsid w:val="00504AD7"/>
    <w:rsid w:val="005104A2"/>
    <w:rsid w:val="00510559"/>
    <w:rsid w:val="005121E3"/>
    <w:rsid w:val="00513071"/>
    <w:rsid w:val="00514F77"/>
    <w:rsid w:val="005158FB"/>
    <w:rsid w:val="00520851"/>
    <w:rsid w:val="0052441A"/>
    <w:rsid w:val="00524DB1"/>
    <w:rsid w:val="005305DE"/>
    <w:rsid w:val="00532AAE"/>
    <w:rsid w:val="005349C4"/>
    <w:rsid w:val="00535AED"/>
    <w:rsid w:val="00537A5B"/>
    <w:rsid w:val="00537DBC"/>
    <w:rsid w:val="00544ACC"/>
    <w:rsid w:val="00550845"/>
    <w:rsid w:val="0056141F"/>
    <w:rsid w:val="00563FD4"/>
    <w:rsid w:val="00566998"/>
    <w:rsid w:val="0056749D"/>
    <w:rsid w:val="00576072"/>
    <w:rsid w:val="0057780B"/>
    <w:rsid w:val="00577CF0"/>
    <w:rsid w:val="0058000E"/>
    <w:rsid w:val="005839B4"/>
    <w:rsid w:val="005854C3"/>
    <w:rsid w:val="00590C65"/>
    <w:rsid w:val="00591481"/>
    <w:rsid w:val="00591C1C"/>
    <w:rsid w:val="0059667D"/>
    <w:rsid w:val="005A0F14"/>
    <w:rsid w:val="005A4DB6"/>
    <w:rsid w:val="005A5CF3"/>
    <w:rsid w:val="005A5DC7"/>
    <w:rsid w:val="005B001B"/>
    <w:rsid w:val="005B48F3"/>
    <w:rsid w:val="005B53FD"/>
    <w:rsid w:val="005B79A1"/>
    <w:rsid w:val="005C0DC1"/>
    <w:rsid w:val="005D6ADA"/>
    <w:rsid w:val="005D6E04"/>
    <w:rsid w:val="005E36EE"/>
    <w:rsid w:val="005E7CEF"/>
    <w:rsid w:val="005F606A"/>
    <w:rsid w:val="005F6C22"/>
    <w:rsid w:val="0060078F"/>
    <w:rsid w:val="0060175D"/>
    <w:rsid w:val="00601FD0"/>
    <w:rsid w:val="00606CE8"/>
    <w:rsid w:val="00607605"/>
    <w:rsid w:val="0061057A"/>
    <w:rsid w:val="006167B2"/>
    <w:rsid w:val="00620D67"/>
    <w:rsid w:val="00630C67"/>
    <w:rsid w:val="006315FB"/>
    <w:rsid w:val="006419F9"/>
    <w:rsid w:val="00642A01"/>
    <w:rsid w:val="006462C1"/>
    <w:rsid w:val="00646509"/>
    <w:rsid w:val="006555C3"/>
    <w:rsid w:val="006568FF"/>
    <w:rsid w:val="00662AED"/>
    <w:rsid w:val="00662C7A"/>
    <w:rsid w:val="00662FB1"/>
    <w:rsid w:val="00664E2F"/>
    <w:rsid w:val="006662CD"/>
    <w:rsid w:val="006717C3"/>
    <w:rsid w:val="00673F74"/>
    <w:rsid w:val="00677011"/>
    <w:rsid w:val="006801C0"/>
    <w:rsid w:val="006847FC"/>
    <w:rsid w:val="006857D3"/>
    <w:rsid w:val="0069224B"/>
    <w:rsid w:val="0069347F"/>
    <w:rsid w:val="006936A4"/>
    <w:rsid w:val="00693B8C"/>
    <w:rsid w:val="006A2F30"/>
    <w:rsid w:val="006A2FAD"/>
    <w:rsid w:val="006A2FB0"/>
    <w:rsid w:val="006A60E5"/>
    <w:rsid w:val="006B4311"/>
    <w:rsid w:val="006C645A"/>
    <w:rsid w:val="006E1B74"/>
    <w:rsid w:val="006E25D2"/>
    <w:rsid w:val="006E298F"/>
    <w:rsid w:val="006E5940"/>
    <w:rsid w:val="006E662F"/>
    <w:rsid w:val="006F1B9E"/>
    <w:rsid w:val="006F2F05"/>
    <w:rsid w:val="007030BC"/>
    <w:rsid w:val="007040D3"/>
    <w:rsid w:val="007050A8"/>
    <w:rsid w:val="00705ED1"/>
    <w:rsid w:val="00712124"/>
    <w:rsid w:val="0072249B"/>
    <w:rsid w:val="00726638"/>
    <w:rsid w:val="00730FF1"/>
    <w:rsid w:val="00735AB7"/>
    <w:rsid w:val="0073697E"/>
    <w:rsid w:val="00743169"/>
    <w:rsid w:val="007431F9"/>
    <w:rsid w:val="00747B96"/>
    <w:rsid w:val="0075229D"/>
    <w:rsid w:val="00752651"/>
    <w:rsid w:val="00755334"/>
    <w:rsid w:val="007572FD"/>
    <w:rsid w:val="00757E88"/>
    <w:rsid w:val="0076040C"/>
    <w:rsid w:val="0076310F"/>
    <w:rsid w:val="00763406"/>
    <w:rsid w:val="00772B68"/>
    <w:rsid w:val="00773513"/>
    <w:rsid w:val="007736F4"/>
    <w:rsid w:val="007742F3"/>
    <w:rsid w:val="007812DB"/>
    <w:rsid w:val="00792E01"/>
    <w:rsid w:val="00795683"/>
    <w:rsid w:val="007974B2"/>
    <w:rsid w:val="007A0D06"/>
    <w:rsid w:val="007A448F"/>
    <w:rsid w:val="007A5607"/>
    <w:rsid w:val="007B456A"/>
    <w:rsid w:val="007B5894"/>
    <w:rsid w:val="007B68BB"/>
    <w:rsid w:val="007C0804"/>
    <w:rsid w:val="007C33DD"/>
    <w:rsid w:val="007C74B0"/>
    <w:rsid w:val="007D0871"/>
    <w:rsid w:val="007D5D5E"/>
    <w:rsid w:val="007D65F5"/>
    <w:rsid w:val="007E506D"/>
    <w:rsid w:val="007F739F"/>
    <w:rsid w:val="008057F4"/>
    <w:rsid w:val="00807E86"/>
    <w:rsid w:val="00810084"/>
    <w:rsid w:val="00810758"/>
    <w:rsid w:val="00812136"/>
    <w:rsid w:val="0082021C"/>
    <w:rsid w:val="00822905"/>
    <w:rsid w:val="00832032"/>
    <w:rsid w:val="00832E74"/>
    <w:rsid w:val="00835CDA"/>
    <w:rsid w:val="00837310"/>
    <w:rsid w:val="00840DAD"/>
    <w:rsid w:val="00840E02"/>
    <w:rsid w:val="00847CF6"/>
    <w:rsid w:val="008533EA"/>
    <w:rsid w:val="00856018"/>
    <w:rsid w:val="008655FF"/>
    <w:rsid w:val="008658E4"/>
    <w:rsid w:val="0086646D"/>
    <w:rsid w:val="00866F3C"/>
    <w:rsid w:val="00873EBC"/>
    <w:rsid w:val="00876EB0"/>
    <w:rsid w:val="0087704E"/>
    <w:rsid w:val="00877BC5"/>
    <w:rsid w:val="0088044C"/>
    <w:rsid w:val="00880964"/>
    <w:rsid w:val="00884D34"/>
    <w:rsid w:val="00886C0A"/>
    <w:rsid w:val="008964DA"/>
    <w:rsid w:val="008A3B34"/>
    <w:rsid w:val="008A54B7"/>
    <w:rsid w:val="008A5AB3"/>
    <w:rsid w:val="008B186E"/>
    <w:rsid w:val="008B3368"/>
    <w:rsid w:val="008B52AB"/>
    <w:rsid w:val="008B78C9"/>
    <w:rsid w:val="008C186F"/>
    <w:rsid w:val="008C25A6"/>
    <w:rsid w:val="008C2EC3"/>
    <w:rsid w:val="008D2B7E"/>
    <w:rsid w:val="008D369B"/>
    <w:rsid w:val="008E1C59"/>
    <w:rsid w:val="008E2612"/>
    <w:rsid w:val="008F4441"/>
    <w:rsid w:val="009033B2"/>
    <w:rsid w:val="00912163"/>
    <w:rsid w:val="0091483D"/>
    <w:rsid w:val="009168E9"/>
    <w:rsid w:val="00924BEE"/>
    <w:rsid w:val="009255AA"/>
    <w:rsid w:val="009258F2"/>
    <w:rsid w:val="0092730D"/>
    <w:rsid w:val="00930374"/>
    <w:rsid w:val="009305A2"/>
    <w:rsid w:val="00931D58"/>
    <w:rsid w:val="00933700"/>
    <w:rsid w:val="0093431E"/>
    <w:rsid w:val="009351F1"/>
    <w:rsid w:val="00940D00"/>
    <w:rsid w:val="00957054"/>
    <w:rsid w:val="00957BFE"/>
    <w:rsid w:val="00960894"/>
    <w:rsid w:val="0096124A"/>
    <w:rsid w:val="009642EF"/>
    <w:rsid w:val="009708AA"/>
    <w:rsid w:val="00972656"/>
    <w:rsid w:val="00974721"/>
    <w:rsid w:val="00976CD3"/>
    <w:rsid w:val="00977210"/>
    <w:rsid w:val="00977390"/>
    <w:rsid w:val="00981D37"/>
    <w:rsid w:val="009912C4"/>
    <w:rsid w:val="009A1A53"/>
    <w:rsid w:val="009A1F32"/>
    <w:rsid w:val="009A21EB"/>
    <w:rsid w:val="009A2E1A"/>
    <w:rsid w:val="009A57BF"/>
    <w:rsid w:val="009A714D"/>
    <w:rsid w:val="009B2C4F"/>
    <w:rsid w:val="009B5D59"/>
    <w:rsid w:val="009B5DE4"/>
    <w:rsid w:val="009B6B49"/>
    <w:rsid w:val="009B74C6"/>
    <w:rsid w:val="009B77A4"/>
    <w:rsid w:val="009C17C6"/>
    <w:rsid w:val="009C7CAD"/>
    <w:rsid w:val="009E0E71"/>
    <w:rsid w:val="009E5163"/>
    <w:rsid w:val="009E7D8D"/>
    <w:rsid w:val="009F0C82"/>
    <w:rsid w:val="009F57AE"/>
    <w:rsid w:val="00A0073E"/>
    <w:rsid w:val="00A10174"/>
    <w:rsid w:val="00A14C69"/>
    <w:rsid w:val="00A211D4"/>
    <w:rsid w:val="00A21D8E"/>
    <w:rsid w:val="00A21EFD"/>
    <w:rsid w:val="00A2265F"/>
    <w:rsid w:val="00A22681"/>
    <w:rsid w:val="00A25004"/>
    <w:rsid w:val="00A33FB0"/>
    <w:rsid w:val="00A35728"/>
    <w:rsid w:val="00A369B7"/>
    <w:rsid w:val="00A36DDA"/>
    <w:rsid w:val="00A41260"/>
    <w:rsid w:val="00A45ECF"/>
    <w:rsid w:val="00A47BF8"/>
    <w:rsid w:val="00A5223C"/>
    <w:rsid w:val="00A61294"/>
    <w:rsid w:val="00A62A0E"/>
    <w:rsid w:val="00A71B3C"/>
    <w:rsid w:val="00A746B9"/>
    <w:rsid w:val="00A74939"/>
    <w:rsid w:val="00A83960"/>
    <w:rsid w:val="00A85811"/>
    <w:rsid w:val="00A871FB"/>
    <w:rsid w:val="00A90BE9"/>
    <w:rsid w:val="00A92952"/>
    <w:rsid w:val="00A95B39"/>
    <w:rsid w:val="00A95F11"/>
    <w:rsid w:val="00AA391E"/>
    <w:rsid w:val="00AB04DA"/>
    <w:rsid w:val="00AB19BD"/>
    <w:rsid w:val="00AB1DDB"/>
    <w:rsid w:val="00AB2691"/>
    <w:rsid w:val="00AB3DF5"/>
    <w:rsid w:val="00AB5461"/>
    <w:rsid w:val="00AB7403"/>
    <w:rsid w:val="00AB7ECA"/>
    <w:rsid w:val="00AC26F9"/>
    <w:rsid w:val="00AC3ED5"/>
    <w:rsid w:val="00AC4E97"/>
    <w:rsid w:val="00AC54A7"/>
    <w:rsid w:val="00AC597D"/>
    <w:rsid w:val="00AD2799"/>
    <w:rsid w:val="00AD35B2"/>
    <w:rsid w:val="00AD56C8"/>
    <w:rsid w:val="00AE03ED"/>
    <w:rsid w:val="00AE7F0C"/>
    <w:rsid w:val="00AF06FA"/>
    <w:rsid w:val="00AF0F48"/>
    <w:rsid w:val="00AF30B6"/>
    <w:rsid w:val="00B00034"/>
    <w:rsid w:val="00B03CEE"/>
    <w:rsid w:val="00B07408"/>
    <w:rsid w:val="00B240D5"/>
    <w:rsid w:val="00B34ED4"/>
    <w:rsid w:val="00B36208"/>
    <w:rsid w:val="00B376CC"/>
    <w:rsid w:val="00B4060C"/>
    <w:rsid w:val="00B42D89"/>
    <w:rsid w:val="00B4369E"/>
    <w:rsid w:val="00B43D26"/>
    <w:rsid w:val="00B50A22"/>
    <w:rsid w:val="00B55A33"/>
    <w:rsid w:val="00B60526"/>
    <w:rsid w:val="00B61E39"/>
    <w:rsid w:val="00B6562C"/>
    <w:rsid w:val="00B73290"/>
    <w:rsid w:val="00B746C9"/>
    <w:rsid w:val="00B74EE2"/>
    <w:rsid w:val="00B81650"/>
    <w:rsid w:val="00B84F94"/>
    <w:rsid w:val="00B85FC6"/>
    <w:rsid w:val="00B874E4"/>
    <w:rsid w:val="00B87E24"/>
    <w:rsid w:val="00B91993"/>
    <w:rsid w:val="00B92617"/>
    <w:rsid w:val="00B92CE8"/>
    <w:rsid w:val="00B9726D"/>
    <w:rsid w:val="00B977FD"/>
    <w:rsid w:val="00BA104B"/>
    <w:rsid w:val="00BA1407"/>
    <w:rsid w:val="00BA31EF"/>
    <w:rsid w:val="00BA3843"/>
    <w:rsid w:val="00BB1135"/>
    <w:rsid w:val="00BB31B1"/>
    <w:rsid w:val="00BB4217"/>
    <w:rsid w:val="00BB5015"/>
    <w:rsid w:val="00BB5DAE"/>
    <w:rsid w:val="00BB66CC"/>
    <w:rsid w:val="00BD1E76"/>
    <w:rsid w:val="00BE0052"/>
    <w:rsid w:val="00BE2120"/>
    <w:rsid w:val="00C0226E"/>
    <w:rsid w:val="00C02A09"/>
    <w:rsid w:val="00C02FF1"/>
    <w:rsid w:val="00C03213"/>
    <w:rsid w:val="00C11A9E"/>
    <w:rsid w:val="00C13C13"/>
    <w:rsid w:val="00C178A0"/>
    <w:rsid w:val="00C212BE"/>
    <w:rsid w:val="00C242E2"/>
    <w:rsid w:val="00C254D4"/>
    <w:rsid w:val="00C26BC8"/>
    <w:rsid w:val="00C33B9F"/>
    <w:rsid w:val="00C33D93"/>
    <w:rsid w:val="00C36977"/>
    <w:rsid w:val="00C37A89"/>
    <w:rsid w:val="00C4447A"/>
    <w:rsid w:val="00C50F97"/>
    <w:rsid w:val="00C51CF1"/>
    <w:rsid w:val="00C52CC1"/>
    <w:rsid w:val="00C57DF2"/>
    <w:rsid w:val="00C60BC0"/>
    <w:rsid w:val="00C6136D"/>
    <w:rsid w:val="00C6255E"/>
    <w:rsid w:val="00C643DA"/>
    <w:rsid w:val="00C64417"/>
    <w:rsid w:val="00C65C9C"/>
    <w:rsid w:val="00C67D49"/>
    <w:rsid w:val="00C701B5"/>
    <w:rsid w:val="00C774A9"/>
    <w:rsid w:val="00C80391"/>
    <w:rsid w:val="00C804AF"/>
    <w:rsid w:val="00C84892"/>
    <w:rsid w:val="00C856F0"/>
    <w:rsid w:val="00C931C2"/>
    <w:rsid w:val="00C9348A"/>
    <w:rsid w:val="00C9619C"/>
    <w:rsid w:val="00CA3D23"/>
    <w:rsid w:val="00CA60F8"/>
    <w:rsid w:val="00CB21E5"/>
    <w:rsid w:val="00CB3AE3"/>
    <w:rsid w:val="00CB410F"/>
    <w:rsid w:val="00CB4D38"/>
    <w:rsid w:val="00CB58A2"/>
    <w:rsid w:val="00CC1DCB"/>
    <w:rsid w:val="00CC28ED"/>
    <w:rsid w:val="00CC36D3"/>
    <w:rsid w:val="00CC7C37"/>
    <w:rsid w:val="00CD05EC"/>
    <w:rsid w:val="00CD3A14"/>
    <w:rsid w:val="00CE4770"/>
    <w:rsid w:val="00CF3603"/>
    <w:rsid w:val="00CF7DA7"/>
    <w:rsid w:val="00D06718"/>
    <w:rsid w:val="00D07930"/>
    <w:rsid w:val="00D107DF"/>
    <w:rsid w:val="00D15DD8"/>
    <w:rsid w:val="00D24518"/>
    <w:rsid w:val="00D35D55"/>
    <w:rsid w:val="00D52D6A"/>
    <w:rsid w:val="00D53088"/>
    <w:rsid w:val="00D55EAD"/>
    <w:rsid w:val="00D60DB0"/>
    <w:rsid w:val="00D633D6"/>
    <w:rsid w:val="00D6461F"/>
    <w:rsid w:val="00D64BA6"/>
    <w:rsid w:val="00D659E7"/>
    <w:rsid w:val="00D66AD5"/>
    <w:rsid w:val="00D71307"/>
    <w:rsid w:val="00D84741"/>
    <w:rsid w:val="00D848CF"/>
    <w:rsid w:val="00D96084"/>
    <w:rsid w:val="00DA621F"/>
    <w:rsid w:val="00DB6AF0"/>
    <w:rsid w:val="00DC1FB3"/>
    <w:rsid w:val="00DC4FC3"/>
    <w:rsid w:val="00DC75C0"/>
    <w:rsid w:val="00DD0392"/>
    <w:rsid w:val="00DD217C"/>
    <w:rsid w:val="00DE0C57"/>
    <w:rsid w:val="00DE1175"/>
    <w:rsid w:val="00DE36D4"/>
    <w:rsid w:val="00DE5CE4"/>
    <w:rsid w:val="00DF0C11"/>
    <w:rsid w:val="00DF1765"/>
    <w:rsid w:val="00E01D37"/>
    <w:rsid w:val="00E036A1"/>
    <w:rsid w:val="00E20001"/>
    <w:rsid w:val="00E21F6C"/>
    <w:rsid w:val="00E31F6B"/>
    <w:rsid w:val="00E34DD9"/>
    <w:rsid w:val="00E432B5"/>
    <w:rsid w:val="00E528C2"/>
    <w:rsid w:val="00E60AC5"/>
    <w:rsid w:val="00E60B13"/>
    <w:rsid w:val="00E66CCC"/>
    <w:rsid w:val="00E67B68"/>
    <w:rsid w:val="00E67B80"/>
    <w:rsid w:val="00E70E39"/>
    <w:rsid w:val="00E7233A"/>
    <w:rsid w:val="00E72DEF"/>
    <w:rsid w:val="00E74B08"/>
    <w:rsid w:val="00E76D97"/>
    <w:rsid w:val="00E821D9"/>
    <w:rsid w:val="00E84B83"/>
    <w:rsid w:val="00E85BC2"/>
    <w:rsid w:val="00E90069"/>
    <w:rsid w:val="00EA46C1"/>
    <w:rsid w:val="00EA5062"/>
    <w:rsid w:val="00EA7588"/>
    <w:rsid w:val="00EA7BD4"/>
    <w:rsid w:val="00EB1DDC"/>
    <w:rsid w:val="00EB1F7E"/>
    <w:rsid w:val="00EB3D7D"/>
    <w:rsid w:val="00EB662E"/>
    <w:rsid w:val="00EB7812"/>
    <w:rsid w:val="00EC0317"/>
    <w:rsid w:val="00EC4750"/>
    <w:rsid w:val="00EC4BAD"/>
    <w:rsid w:val="00EC50B5"/>
    <w:rsid w:val="00ED555D"/>
    <w:rsid w:val="00ED7E78"/>
    <w:rsid w:val="00EE5185"/>
    <w:rsid w:val="00EE6D9D"/>
    <w:rsid w:val="00EF05EA"/>
    <w:rsid w:val="00EF6C7E"/>
    <w:rsid w:val="00EF6FCF"/>
    <w:rsid w:val="00F01B0D"/>
    <w:rsid w:val="00F056E5"/>
    <w:rsid w:val="00F078DB"/>
    <w:rsid w:val="00F131F6"/>
    <w:rsid w:val="00F16DBA"/>
    <w:rsid w:val="00F17A8B"/>
    <w:rsid w:val="00F20F79"/>
    <w:rsid w:val="00F2364C"/>
    <w:rsid w:val="00F332AB"/>
    <w:rsid w:val="00F34406"/>
    <w:rsid w:val="00F3537D"/>
    <w:rsid w:val="00F356FB"/>
    <w:rsid w:val="00F3755C"/>
    <w:rsid w:val="00F508CD"/>
    <w:rsid w:val="00F52C81"/>
    <w:rsid w:val="00F53124"/>
    <w:rsid w:val="00F54E18"/>
    <w:rsid w:val="00F56EB9"/>
    <w:rsid w:val="00F576D9"/>
    <w:rsid w:val="00F60FF8"/>
    <w:rsid w:val="00F6713F"/>
    <w:rsid w:val="00F707A6"/>
    <w:rsid w:val="00F71F70"/>
    <w:rsid w:val="00F7262A"/>
    <w:rsid w:val="00F73217"/>
    <w:rsid w:val="00F84ECF"/>
    <w:rsid w:val="00F8518F"/>
    <w:rsid w:val="00F90B35"/>
    <w:rsid w:val="00F915A6"/>
    <w:rsid w:val="00F933E1"/>
    <w:rsid w:val="00F93ED0"/>
    <w:rsid w:val="00F94060"/>
    <w:rsid w:val="00F95A80"/>
    <w:rsid w:val="00FA0C02"/>
    <w:rsid w:val="00FA53EC"/>
    <w:rsid w:val="00FA6E3C"/>
    <w:rsid w:val="00FA7341"/>
    <w:rsid w:val="00FB1082"/>
    <w:rsid w:val="00FB6C19"/>
    <w:rsid w:val="00FC6763"/>
    <w:rsid w:val="00FC6F37"/>
    <w:rsid w:val="00FD2E82"/>
    <w:rsid w:val="00FD34CC"/>
    <w:rsid w:val="00FD6FA2"/>
    <w:rsid w:val="00FD7628"/>
    <w:rsid w:val="00FE2AF3"/>
    <w:rsid w:val="00FE3E7B"/>
    <w:rsid w:val="00FF307B"/>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8/1078-0432.ccr-13-1256" TargetMode="External"/><Relationship Id="rId18" Type="http://schemas.openxmlformats.org/officeDocument/2006/relationships/hyperlink" Target="https://doi.org/10.1198/016214505000000033" TargetMode="External"/><Relationship Id="rId26" Type="http://schemas.openxmlformats.org/officeDocument/2006/relationships/hyperlink" Target="https://doi.org/10.3389/fgene.2019.00097" TargetMode="External"/><Relationship Id="rId39" Type="http://schemas.openxmlformats.org/officeDocument/2006/relationships/hyperlink" Target="https://doi.org/10.1038/nm.3801" TargetMode="External"/><Relationship Id="rId21" Type="http://schemas.openxmlformats.org/officeDocument/2006/relationships/hyperlink" Target="https://ghr.nlm.nih.gov/primer/basics/gene" TargetMode="External"/><Relationship Id="rId34" Type="http://schemas.openxmlformats.org/officeDocument/2006/relationships/hyperlink" Target="http://Www.Cancer.Gov" TargetMode="External"/><Relationship Id="rId42" Type="http://schemas.openxmlformats.org/officeDocument/2006/relationships/hyperlink" Target="https://doi.org/10.1038/onc.2013.307"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4314/aipm.v6i1.64038" TargetMode="External"/><Relationship Id="rId29" Type="http://schemas.openxmlformats.org/officeDocument/2006/relationships/hyperlink" Target="https://www.ncbi.nlm.nih.gov/gene/1303" TargetMode="External"/><Relationship Id="rId11" Type="http://schemas.openxmlformats.org/officeDocument/2006/relationships/hyperlink" Target="https://doi.org/10.1186/s12864-017-3770-y" TargetMode="External"/><Relationship Id="rId24" Type="http://schemas.openxmlformats.org/officeDocument/2006/relationships/hyperlink" Target="https://doi.org/10.1186/s13059-018-1578-y" TargetMode="External"/><Relationship Id="rId32" Type="http://schemas.openxmlformats.org/officeDocument/2006/relationships/hyperlink" Target="https://doi.org/10.1213/ane.0000000000003653" TargetMode="External"/><Relationship Id="rId37" Type="http://schemas.openxmlformats.org/officeDocument/2006/relationships/hyperlink" Target="https://www.cancer.gov/about-nci/organization/ccg/research/structural-genomics/tcga" TargetMode="External"/><Relationship Id="rId40" Type="http://schemas.openxmlformats.org/officeDocument/2006/relationships/hyperlink" Target="https://www.broadinstitute.org/blog/opinionome-can-dna" TargetMode="External"/><Relationship Id="rId45" Type="http://schemas.openxmlformats.org/officeDocument/2006/relationships/image" Target="media/image3.png"/><Relationship Id="rId53" Type="http://schemas.openxmlformats.org/officeDocument/2006/relationships/image" Target="media/image11.png"/><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yperlink" Target="https://doi.org/10.1002/ijc.29815" TargetMode="External"/><Relationship Id="rId31" Type="http://schemas.openxmlformats.org/officeDocument/2006/relationships/hyperlink" Target="https://doi.org/10.1038/s41467-019-10933-3" TargetMode="External"/><Relationship Id="rId44" Type="http://schemas.openxmlformats.org/officeDocument/2006/relationships/image" Target="media/image2.png"/><Relationship Id="rId52"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3389/fonc.2015.00245" TargetMode="External"/><Relationship Id="rId22" Type="http://schemas.openxmlformats.org/officeDocument/2006/relationships/hyperlink" Target="https://www.genome.gov/human-genome" TargetMode="External"/><Relationship Id="rId27" Type="http://schemas.openxmlformats.org/officeDocument/2006/relationships/hyperlink" Target="https://doi.org/10.1002/path.2998" TargetMode="External"/><Relationship Id="rId30" Type="http://schemas.openxmlformats.org/officeDocument/2006/relationships/hyperlink" Target="https://doi.org/10.1055/s-2006-948556" TargetMode="External"/><Relationship Id="rId35" Type="http://schemas.openxmlformats.org/officeDocument/2006/relationships/hyperlink" Target="https://www.cancer.gov/about-nci/organization/ccg/research/structural" TargetMode="External"/><Relationship Id="rId43" Type="http://schemas.openxmlformats.org/officeDocument/2006/relationships/image" Target="media/image1.png"/><Relationship Id="rId48" Type="http://schemas.openxmlformats.org/officeDocument/2006/relationships/image" Target="media/image6.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 Id="rId12" Type="http://schemas.openxmlformats.org/officeDocument/2006/relationships/hyperlink" Target="https://www.cancer.org/cancer/ovarian-cancer/detection-diagnosis-staging/survival-rates.html" TargetMode="External"/><Relationship Id="rId17" Type="http://schemas.openxmlformats.org/officeDocument/2006/relationships/hyperlink" Target="https://doi.org/10.1093/bib/bbs046" TargetMode="External"/><Relationship Id="rId25" Type="http://schemas.openxmlformats.org/officeDocument/2006/relationships/hyperlink" Target="https://doi.org/10.1080/01621459.1958.10501452" TargetMode="External"/><Relationship Id="rId33" Type="http://schemas.openxmlformats.org/officeDocument/2006/relationships/hyperlink" Target="https://doi.org/10.1186/s12859-016%091255-7" TargetMode="External"/><Relationship Id="rId38" Type="http://schemas.openxmlformats.org/officeDocument/2006/relationships/hyperlink" Target="https://www.cancer.gov/about-nci/organization/ccg/research/structural-genomics/tcga/publications" TargetMode="External"/><Relationship Id="rId46" Type="http://schemas.openxmlformats.org/officeDocument/2006/relationships/image" Target="media/image4.png"/><Relationship Id="rId20" Type="http://schemas.openxmlformats.org/officeDocument/2006/relationships/hyperlink" Target="https://doi.org/10.1200/jco.2005.10.042" TargetMode="External"/><Relationship Id="rId41" Type="http://schemas.openxmlformats.org/officeDocument/2006/relationships/hyperlink" Target="https://doi.org/10.1093/gigascience/giz074"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111/j.2517-6161.1972.tb00899.x" TargetMode="External"/><Relationship Id="rId23" Type="http://schemas.openxmlformats.org/officeDocument/2006/relationships/hyperlink" Target="https://doi.org/10.7150/jca.15371" TargetMode="External"/><Relationship Id="rId28" Type="http://schemas.openxmlformats.org/officeDocument/2006/relationships/hyperlink" Target="https://doi.org/10.1016/j.cell.2018.02.052" TargetMode="External"/><Relationship Id="rId36" Type="http://schemas.openxmlformats.org/officeDocument/2006/relationships/hyperlink" Target="https://doi.org/10.1038/bjc.2013.687"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37</Pages>
  <Words>7735</Words>
  <Characters>44092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51724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636</cp:revision>
  <dcterms:created xsi:type="dcterms:W3CDTF">2017-10-31T14:25:00Z</dcterms:created>
  <dcterms:modified xsi:type="dcterms:W3CDTF">2021-05-17T21:23:00Z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