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left"/>
        <w:rPr/>
      </w:pPr>
      <w:r>
        <w:rPr/>
        <w:t>Моделювання гонки озброєння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Останні сто років ми стали свідками численної небезпечної, дестабілізуючої, та дорогої гонки озброєнь. З початком Першої Світової Війни почалось стрімке нарощування озброєнь між ворогуючими європейськими державами.  Це було схожа на взаємне накопичення зброї незадовго до Другої Світової Війни. Сполучені Штати і Радянський Союз вступили у дорогу гонку ядерних озброєнь протягом сорока років "холодної війни". Накопиченна смертоносна зброя сьогодні поширерена в багатьох частинах світу, в тому числі Бизький Схід, Індійський субконтинент, і на Корейському півострові.</w:t>
      </w:r>
    </w:p>
    <w:p>
      <w:pPr>
        <w:pStyle w:val="Normal"/>
        <w:spacing w:before="0" w:after="0"/>
        <w:rPr/>
      </w:pPr>
      <w:r>
        <w:rPr/>
        <w:tab/>
        <w:t xml:space="preserve">Британський метеоролог і педагог Льюїс Ф. Річардсон (1881-1953) розробив кілька математичних моделей, що дозволяють проаналізувати динаміку гонки озброєнь, змінюючись в часі процес взаємодії між країнами </w:t>
      </w:r>
      <w:r>
        <w:rPr/>
        <w:t>та</w:t>
      </w:r>
      <w:r>
        <w:rPr/>
        <w:t xml:space="preserve"> придбанн</w:t>
      </w:r>
      <w:r>
        <w:rPr/>
        <w:t>ої</w:t>
      </w:r>
      <w:r>
        <w:rPr/>
        <w:t xml:space="preserve"> зброї. Моделі гонки озброєнь </w:t>
      </w:r>
      <w:r>
        <w:rPr/>
        <w:t>припускають</w:t>
      </w:r>
      <w:r>
        <w:rPr/>
        <w:t xml:space="preserve">, що кожна країна регулює </w:t>
      </w:r>
      <w:r>
        <w:rPr/>
        <w:t>власне озброэння,</w:t>
      </w:r>
      <w:r>
        <w:rPr/>
        <w:t xml:space="preserve"> </w:t>
      </w:r>
      <w:r>
        <w:rPr/>
        <w:t xml:space="preserve">що </w:t>
      </w:r>
      <w:r>
        <w:rPr/>
        <w:t xml:space="preserve">залежить від розміру власних запасів </w:t>
      </w:r>
      <w:r>
        <w:rPr/>
        <w:t>країни</w:t>
      </w:r>
      <w:r>
        <w:rPr/>
        <w:t xml:space="preserve"> і рівень озброєння </w:t>
      </w:r>
      <w:r>
        <w:rPr/>
        <w:t>в</w:t>
      </w:r>
      <w:r>
        <w:rPr/>
        <w:t xml:space="preserve"> інших країн</w:t>
      </w:r>
      <w:r>
        <w:rPr/>
        <w:t>ах</w:t>
      </w:r>
      <w:r>
        <w:rPr/>
        <w:t>.</w:t>
      </w:r>
    </w:p>
    <w:p>
      <w:pPr>
        <w:pStyle w:val="Normal"/>
        <w:spacing w:before="0" w:after="0"/>
        <w:rPr/>
      </w:pPr>
      <w:r>
        <w:rPr/>
        <w:tab/>
        <w:t>Первинна модель Річардсона гонк</w:t>
      </w:r>
      <w:r>
        <w:rPr/>
        <w:t>и озброєнь двох</w:t>
      </w:r>
      <w:r>
        <w:rPr/>
        <w:t xml:space="preserve"> країна заснована на взаємн</w:t>
      </w:r>
      <w:r>
        <w:rPr/>
        <w:t>ому</w:t>
      </w:r>
    </w:p>
    <w:p>
      <w:pPr>
        <w:pStyle w:val="Normal"/>
        <w:spacing w:before="0" w:after="0"/>
        <w:rPr/>
      </w:pPr>
      <w:r>
        <w:rPr/>
        <w:t>страх</w:t>
      </w:r>
      <w:r>
        <w:rPr/>
        <w:t>у</w:t>
      </w:r>
      <w:r>
        <w:rPr/>
        <w:t xml:space="preserve">: нація </w:t>
      </w:r>
      <w:r>
        <w:rPr/>
        <w:t>починая виробляти кількість озброєння пропорційне до кількості яку виробляє супротивник</w:t>
      </w:r>
      <w:r>
        <w:rPr/>
        <w:t xml:space="preserve">. Модель Річардсона враховує внутрішні проблеми в країні, які уповільнюють накопичення озброєнь: </w:t>
      </w:r>
      <w:r>
        <w:rPr/>
        <w:t>чим</w:t>
      </w:r>
      <w:r>
        <w:rPr/>
        <w:t xml:space="preserve"> більше країна витрачає на озброєння, тим важче зробити більше зроста</w:t>
      </w:r>
      <w:r>
        <w:rPr/>
        <w:t>ння</w:t>
      </w:r>
      <w:r>
        <w:rPr/>
        <w:t xml:space="preserve">, тому що стає все важче </w:t>
      </w:r>
      <w:r>
        <w:rPr/>
        <w:t>відбирати</w:t>
      </w:r>
      <w:r>
        <w:rPr/>
        <w:t xml:space="preserve"> ресурси суспільства від основних потреб, таких як їжа і житло. Річардсон також вбуд</w:t>
      </w:r>
      <w:r>
        <w:rPr/>
        <w:t>уваа</w:t>
      </w:r>
      <w:r>
        <w:rPr/>
        <w:t xml:space="preserve"> в модель інш</w:t>
      </w:r>
      <w:r>
        <w:rPr/>
        <w:t>і</w:t>
      </w:r>
      <w:r>
        <w:rPr/>
        <w:t xml:space="preserve"> </w:t>
      </w:r>
      <w:r>
        <w:rPr/>
        <w:t>ф</w:t>
      </w:r>
      <w:r>
        <w:rPr/>
        <w:t>актор</w:t>
      </w:r>
      <w:r>
        <w:rPr/>
        <w:t>и пришвидшення</w:t>
      </w:r>
      <w:r>
        <w:rPr/>
        <w:t xml:space="preserve"> або уповільнення гонки озброєнь, які не залежать від рівня </w:t>
      </w:r>
      <w:r>
        <w:rPr/>
        <w:t>витрат на озброєння</w:t>
      </w:r>
      <w:r>
        <w:rPr/>
        <w:t>.</w:t>
      </w:r>
    </w:p>
    <w:p>
      <w:pPr>
        <w:pStyle w:val="Normal"/>
        <w:spacing w:before="0" w:after="0"/>
        <w:rPr/>
      </w:pPr>
      <w:r>
        <w:rPr/>
        <w:tab/>
        <w:t>Математична структура моделі є зв'язаною системою з двох лінійних диференціальних рівнянь перш</w:t>
      </w:r>
      <w:r>
        <w:rPr/>
        <w:t>ого порядку</w:t>
      </w:r>
      <w:r>
        <w:rPr/>
        <w:t xml:space="preserve">. Якщо X і Y являють собою кількість </w:t>
      </w:r>
      <w:r>
        <w:rPr/>
        <w:t>коштів</w:t>
      </w:r>
      <w:r>
        <w:rPr/>
        <w:t xml:space="preserve"> витрач</w:t>
      </w:r>
      <w:r>
        <w:rPr/>
        <w:t>ених</w:t>
      </w:r>
      <w:r>
        <w:rPr/>
        <w:t xml:space="preserve"> на озброєнь між двома націями в момент часу t, то модель має вигляд</w:t>
      </w:r>
    </w:p>
    <w:p>
      <w:pPr>
        <w:pStyle w:val="Normal"/>
        <w:spacing w:before="0" w:after="0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spacing w:before="0" w:after="0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spacing w:before="0" w:after="0"/>
        <w:rPr/>
      </w:pPr>
      <w:r>
        <w:rPr/>
        <w:t xml:space="preserve">де a,b,m,n є позитивними константами, а r,s є константами які можуть бути позитивними чи негативними. Константи а,b вимірюють взаємний страх, константи m,n </w:t>
      </w:r>
      <w:r>
        <w:rPr/>
        <w:t>являють собою коефіцієнти пропорційності для "внутрішніх гальм" для подальшого росту озброєнь.</w:t>
      </w:r>
      <w:r>
        <w:rPr/>
        <w:t xml:space="preserve"> </w:t>
      </w:r>
      <w:r>
        <w:rPr/>
        <w:t>Позитивны</w:t>
      </w:r>
      <w:r>
        <w:rPr/>
        <w:t xml:space="preserve"> r,s </w:t>
      </w:r>
      <w:r>
        <w:rPr/>
        <w:t>відповідають базовим факторам, недоброзичливості й недовіри, які</w:t>
      </w:r>
    </w:p>
    <w:p>
      <w:pPr>
        <w:pStyle w:val="Normal"/>
        <w:spacing w:before="0" w:after="0"/>
        <w:rPr/>
      </w:pPr>
      <w:r>
        <w:rPr/>
        <w:t xml:space="preserve">збережуться навіть якщо витрати на озброєння впали до нуля. Негативны значення </w:t>
      </w:r>
      <w:r>
        <w:rPr/>
        <w:t xml:space="preserve">r,s вказують на внесок, заснований на добрій волі. </w:t>
      </w:r>
    </w:p>
    <w:p>
      <w:pPr>
        <w:pStyle w:val="Normal"/>
        <w:spacing w:before="0" w:after="0"/>
        <w:rPr/>
      </w:pPr>
      <w:r>
        <w:rPr/>
        <w:t xml:space="preserve">Динамічна поведінка цієї системи диференціальних рівнянь залежить від відносності розмірів a,b та m,n разом зі знаками e і s. Хоча модель є відносно простою, вона дозволяє розглядати кілька різних довгострокових подій. Цілком можливо, що дві нації можуть одночасно рухатися в напрямку взаємної роззброєння, з x і y які наближаються до нуля. Порочне коло необмежених збільшення X і Y і інший можливий сценарій. Третя можливість полягає в тому, що зброя витрати асимптотично наближється до стійкої точкі (x*, у*) незалежно від первісного рівень витрат на озброєння. В інших випадках, кінцевий результат залежить від відправної точки. На рис. 1 показана одна можлива ситуація з чотирьох різних початкових значень, кожен з яких веде на "стабільного результату"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>.</w:t>
      </w:r>
    </w:p>
    <w:p>
      <w:pPr>
        <w:pStyle w:val="Normal"/>
        <w:spacing w:before="0" w:after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71950" cy="417322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41732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71950" cy="38957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0" cy="389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рис.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8.5pt;height:328.6pt;mso-wrap-distance-left:0pt;mso-wrap-distance-right:0pt;mso-wrap-distance-top:0pt;mso-wrap-distance-bottom:0pt;margin-top:0pt;mso-position-vertical:top;mso-position-vertical-relative:text;margin-left:69.75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71950" cy="38957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0" cy="389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instrText> SEQ рис.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/>
        <w:tab/>
        <w:t>Хоча "реальн</w:t>
      </w:r>
      <w:r>
        <w:rPr/>
        <w:t>а</w:t>
      </w:r>
      <w:r>
        <w:rPr/>
        <w:t>" гонка озброєнь рідко в точності збігатися з моделлю Річардсона, його новаторська робота призвела до численних плідни</w:t>
      </w:r>
      <w:r>
        <w:rPr/>
        <w:t>х</w:t>
      </w:r>
      <w:r>
        <w:rPr/>
        <w:t xml:space="preserve"> застосування моделі диференціальн</w:t>
      </w:r>
      <w:r>
        <w:rPr/>
        <w:t>их</w:t>
      </w:r>
      <w:r>
        <w:rPr/>
        <w:t xml:space="preserve"> рівнянн</w:t>
      </w:r>
      <w:r>
        <w:rPr/>
        <w:t xml:space="preserve">ь до </w:t>
      </w:r>
      <w:r>
        <w:rPr/>
        <w:t xml:space="preserve">проблеми міжнародних відносин і політичних наук. Два провідних вчених у </w:t>
      </w:r>
      <w:r>
        <w:rPr/>
        <w:t>галузі зазначили</w:t>
      </w:r>
      <w:r>
        <w:rPr/>
        <w:t xml:space="preserve">, “модель Річардсона гонки озброєнь є однією з найбільш </w:t>
      </w:r>
      <w:r>
        <w:rPr/>
        <w:t>важливою</w:t>
      </w:r>
      <w:r>
        <w:rPr/>
        <w:t xml:space="preserve"> модел</w:t>
      </w:r>
      <w:r>
        <w:rPr/>
        <w:t>лю</w:t>
      </w:r>
      <w:r>
        <w:rPr/>
        <w:t xml:space="preserve"> гонки озброєнь явищ і, в той же час, одним з найбільш </w:t>
      </w:r>
      <w:r>
        <w:rPr/>
        <w:t xml:space="preserve">впливових </w:t>
      </w:r>
      <w:r>
        <w:rPr/>
        <w:t>формальн</w:t>
      </w:r>
      <w:r>
        <w:rPr/>
        <w:t>их</w:t>
      </w:r>
      <w:r>
        <w:rPr/>
        <w:t xml:space="preserve"> моделі у </w:t>
      </w:r>
      <w:r>
        <w:rPr/>
        <w:t xml:space="preserve">літературі </w:t>
      </w:r>
      <w:r>
        <w:rPr/>
        <w:t>міжнародних відносин".</w:t>
      </w:r>
    </w:p>
    <w:p>
      <w:pPr>
        <w:pStyle w:val="Normal"/>
        <w:spacing w:before="0" w:after="0"/>
        <w:rPr/>
      </w:pPr>
      <w:r>
        <w:rPr/>
        <w:tab/>
        <w:t>Гонка озброєнь не обмежуються взаємодією держави. Вони можуть мати місце</w:t>
      </w:r>
    </w:p>
    <w:p>
      <w:pPr>
        <w:pStyle w:val="Normal"/>
        <w:spacing w:before="0" w:after="0"/>
        <w:rPr/>
      </w:pPr>
      <w:r>
        <w:rPr/>
        <w:t xml:space="preserve">між державою та воєнізованої терористичною групою в межах її кордонів, як </w:t>
      </w:r>
      <w:r>
        <w:rPr/>
        <w:t>приклад</w:t>
      </w:r>
      <w:r>
        <w:rPr/>
        <w:t xml:space="preserve">, Тигри Таміл-ілама в Шрі-Ланці, </w:t>
      </w:r>
      <w:r>
        <w:rPr/>
        <w:t>С</w:t>
      </w:r>
      <w:r>
        <w:rPr/>
        <w:t xml:space="preserve">яючий </w:t>
      </w:r>
      <w:r>
        <w:rPr/>
        <w:t>Ш</w:t>
      </w:r>
      <w:r>
        <w:rPr/>
        <w:t>лях в Перу, або "Талібану" Афганістан. Явищ</w:t>
      </w:r>
      <w:r>
        <w:rPr/>
        <w:t>е</w:t>
      </w:r>
      <w:r>
        <w:rPr/>
        <w:t xml:space="preserve"> спостеріга</w:t>
      </w:r>
      <w:r>
        <w:rPr/>
        <w:t>є</w:t>
      </w:r>
      <w:r>
        <w:rPr/>
        <w:t>ться між ворогуючими міськи</w:t>
      </w:r>
      <w:r>
        <w:rPr/>
        <w:t>ми</w:t>
      </w:r>
      <w:r>
        <w:rPr/>
        <w:t xml:space="preserve"> банд</w:t>
      </w:r>
      <w:r>
        <w:rPr/>
        <w:t xml:space="preserve">ами </w:t>
      </w:r>
      <w:r>
        <w:rPr/>
        <w:t>і між правоохоронними органами та організованою злочинністю.</w:t>
      </w:r>
    </w:p>
    <w:p>
      <w:pPr>
        <w:pStyle w:val="Normal"/>
        <w:spacing w:before="0" w:after="0"/>
        <w:rPr/>
      </w:pPr>
      <w:r>
        <w:rPr/>
        <w:tab/>
      </w:r>
      <w:r>
        <w:rPr/>
        <w:t>Об’єктом данної моделі не повинна ути лише зброя. Взаємовідносини між параметрами модели Рідчардсона дозволяють моделювати будь-які процесси у яких присутні ворожі відносини з накопиченням або втратою сили.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2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llustration">
    <w:name w:val="Illustration"/>
    <w:basedOn w:val="Caption"/>
    <w:qFormat/>
    <w:pPr/>
    <w:rPr/>
  </w:style>
  <w:style w:type="paragraph" w:styleId="Style8">
    <w:name w:val="рис.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1739</TotalTime>
  <Application>LibreOffice/5.1.4.2$Linux_X86_64 LibreOffice_project/10m0$Build-2</Application>
  <Pages>3</Pages>
  <Words>555</Words>
  <Characters>3483</Characters>
  <CharactersWithSpaces>4034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2016-11-09T00:26:43Z</dcterms:modified>
  <cp:revision>9</cp:revision>
  <dc:subject/>
  <dc:title/>
</cp:coreProperties>
</file>