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ind w:firstLine="0"/>
        <w:contextualSpacing w:val="0"/>
      </w:pPr>
      <w:bookmarkStart w:colFirst="0" w:colLast="0" w:name="_4rb39nulb5ld" w:id="0"/>
      <w:bookmarkEnd w:id="0"/>
      <w:r w:rsidDel="00000000" w:rsidR="00000000" w:rsidRPr="00000000">
        <w:rPr>
          <w:rtl w:val="0"/>
        </w:rPr>
        <w:t xml:space="preserve">Supplementary Materials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338.582677165356" w:type="dxa"/>
        <w:jc w:val="center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67.716535433071"/>
        <w:gridCol w:w="2267.716535433071"/>
        <w:gridCol w:w="2267.716535433071"/>
        <w:gridCol w:w="2267.716535433071"/>
        <w:gridCol w:w="2267.716535433071"/>
        <w:tblGridChange w:id="0">
          <w:tblGrid>
            <w:gridCol w:w="2267.716535433071"/>
            <w:gridCol w:w="2267.716535433071"/>
            <w:gridCol w:w="2267.716535433071"/>
            <w:gridCol w:w="2267.716535433071"/>
            <w:gridCol w:w="2267.716535433071"/>
          </w:tblGrid>
        </w:tblGridChange>
      </w:tblGrid>
      <w:tr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ASD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 vs ASD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Group-level difference?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14.38 (1.28)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14.04 (1.49)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 -.82, p= 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Full scale IQ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105.96 (8.69)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104.33 (8.74)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 -.64, p= 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Verbal IQ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105.83 (7.60)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102.87 (15.39)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 -.84, p= 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Performal IQ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106.00 (12.29)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108.09 (14.40)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 .54, p= 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SRS (overall)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per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49.46 (9.11)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80.26 (11.45)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vertAlign w:val="subscript"/>
                <w:rtl w:val="0"/>
              </w:rPr>
              <w:t xml:space="preserve">,45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 10.23, p&lt; 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ASD &gt; TD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Table 1</w:t>
      </w:r>
      <w:r w:rsidDel="00000000" w:rsidR="00000000" w:rsidRPr="00000000">
        <w:rPr>
          <w:sz w:val="20"/>
          <w:szCs w:val="20"/>
          <w:rtl w:val="0"/>
        </w:rPr>
        <w:t xml:space="preserve">: Overview of the </w:t>
      </w:r>
      <w:r w:rsidDel="00000000" w:rsidR="00000000" w:rsidRPr="00000000">
        <w:rPr>
          <w:sz w:val="20"/>
          <w:szCs w:val="20"/>
          <w:rtl w:val="0"/>
        </w:rPr>
        <w:t xml:space="preserve">average group-level scores</w:t>
      </w:r>
      <w:r w:rsidDel="00000000" w:rsidR="00000000" w:rsidRPr="00000000">
        <w:rPr>
          <w:sz w:val="20"/>
          <w:szCs w:val="20"/>
          <w:rtl w:val="0"/>
        </w:rPr>
        <w:t xml:space="preserve"> on descriptive measures. All tests are two-sample two-tailed t-tests (comparison ASD group and matched TD group).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No group differences on age or IQ, given that groups (ASD and TD) were matched on these variables.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We found an expected significant main effect of Group on overall SRS score and subscale scores, with higher scores in the ASD group compared to the TD group.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60410" cy="3962400"/>
            <wp:effectExtent b="0" l="0" r="0" t="0"/>
            <wp:docPr descr="AQblockAccEdit.png" id="2" name="image03.png"/>
            <a:graphic>
              <a:graphicData uri="http://schemas.openxmlformats.org/drawingml/2006/picture">
                <pic:pic>
                  <pic:nvPicPr>
                    <pic:cNvPr descr="AQblockAccEdit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1</w:t>
      </w:r>
      <w:r w:rsidDel="00000000" w:rsidR="00000000" w:rsidRPr="00000000">
        <w:rPr>
          <w:sz w:val="20"/>
          <w:szCs w:val="20"/>
          <w:rtl w:val="0"/>
        </w:rPr>
        <w:t xml:space="preserve">: Overview of the </w:t>
      </w:r>
      <w:r w:rsidDel="00000000" w:rsidR="00000000" w:rsidRPr="00000000">
        <w:rPr>
          <w:sz w:val="20"/>
          <w:szCs w:val="20"/>
          <w:rtl w:val="0"/>
        </w:rPr>
        <w:t xml:space="preserve">average </w:t>
      </w:r>
      <w:r w:rsidDel="00000000" w:rsidR="00000000" w:rsidRPr="00000000">
        <w:rPr>
          <w:sz w:val="20"/>
          <w:szCs w:val="20"/>
          <w:rtl w:val="0"/>
        </w:rPr>
        <w:t xml:space="preserve">accuracies in pre (blue) and post (green) phase across the 6 blocks for study 1.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60410" cy="2438400"/>
            <wp:effectExtent b="0" l="0" r="0" t="0"/>
            <wp:docPr descr="accacrossblocks.png" id="1" name="image01.png"/>
            <a:graphic>
              <a:graphicData uri="http://schemas.openxmlformats.org/drawingml/2006/picture">
                <pic:pic>
                  <pic:nvPicPr>
                    <pic:cNvPr descr="accacrossblocks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sz w:val="20"/>
          <w:szCs w:val="20"/>
          <w:rtl w:val="0"/>
        </w:rPr>
        <w:t xml:space="preserve">: Overview of the </w:t>
      </w:r>
      <w:r w:rsidDel="00000000" w:rsidR="00000000" w:rsidRPr="00000000">
        <w:rPr>
          <w:sz w:val="20"/>
          <w:szCs w:val="20"/>
          <w:rtl w:val="0"/>
        </w:rPr>
        <w:t xml:space="preserve">average </w:t>
      </w:r>
      <w:r w:rsidDel="00000000" w:rsidR="00000000" w:rsidRPr="00000000">
        <w:rPr>
          <w:sz w:val="20"/>
          <w:szCs w:val="20"/>
          <w:rtl w:val="0"/>
        </w:rPr>
        <w:t xml:space="preserve">group-wise accuracies in pre and post phase across the 6 blocks for study 2 for the ASD (green) and the TD (blue) group.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417" w:top="1417" w:left="1417" w:right="1417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T Sans" w:cs="PT Sans" w:eastAsia="PT Sans" w:hAnsi="PT San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563.00000000000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contextualSpacing w:val="1"/>
      <w:jc w:val="center"/>
    </w:pPr>
    <w:rPr>
      <w:rFonts w:ascii="PT Sans" w:cs="PT Sans" w:eastAsia="PT Sans" w:hAnsi="PT Sans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