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3</w:t>
      </w:r>
    </w:p>
    <w:p>
      <w:pPr>
        <w:jc w:val="center"/>
      </w:pPr>
      <w:r>
        <w:rPr>
          <w:b/>
          <w:bCs/>
          <w:sz w:val="22"/>
          <w:szCs w:val="22"/>
        </w:rPr>
        <w:t xml:space="preserve">Отчет о движении запросов, направленных на согласование права подачи апелляционного, кассационного обжалования судебных актов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Апелляционная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Кассационная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* в графе 2,3,4,5,6,7,8 цифры записываются с помощью дробной черты. Над дробной чертой записывается количество запросов, направленных на согласование за отчетный квартал, под дробной чертой записывается количество направленных на согласование с начала года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2026-02-12T04:17:43.978Z</dcterms:created>
  <dcterms:modified xsi:type="dcterms:W3CDTF">2026-02-12T04:17:43.978Z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