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4"/>
          <w:szCs w:val="24"/>
        </w:rPr>
        <w:t xml:space="preserve">Форма № 2</w:t>
      </w:r>
    </w:p>
    <w:p>
      <w:pPr>
        <w:jc w:val="center"/>
      </w:pPr>
      <w:r>
        <w:rPr>
          <w:b/>
          <w:bCs/>
          <w:sz w:val="24"/>
          <w:szCs w:val="24"/>
        </w:rPr>
        <w:t xml:space="preserve">Отчет о движении административных дел</w:t>
      </w:r>
    </w:p>
    <w:p>
      <w:pPr>
        <w:jc w:val="center"/>
      </w:pPr>
      <w:r>
        <w:rPr>
          <w:sz w:val="22"/>
          <w:szCs w:val="22"/>
        </w:rPr>
        <w:t xml:space="preserve">по состоянию на 4 квартал 2025 года по 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(наименование организации)</w:t>
      </w:r>
    </w:p>
    <w:p/>
    <w:p>
      <w:pPr>
        <w:jc w:val="center"/>
      </w:pPr>
      <w:r>
        <w:rPr>
          <w:b/>
          <w:bCs/>
          <w:sz w:val="22"/>
          <w:szCs w:val="22"/>
        </w:rPr>
        <w:t xml:space="preserve">В качестве истцов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Истец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Ответчик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Суть спора (предмет, сумма иска и другие)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Судебный акт первой инстанции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Апелляция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Кассация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8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</w:tr>
    </w:tbl>
    <w:p/>
    <w:p>
      <w:pPr>
        <w:jc w:val="center"/>
      </w:pPr>
      <w:r>
        <w:rPr>
          <w:b/>
          <w:bCs/>
          <w:sz w:val="22"/>
          <w:szCs w:val="22"/>
        </w:rPr>
        <w:t xml:space="preserve">В качестве ответчиков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Истец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Ответчик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Суть спора (предмет, сумма иска и другие)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Судебный акт первой инстанции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Апелляция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Кассация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8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</w:tr>
    </w:tbl>
    <w:p/>
    <w:p>
      <w:pPr>
        <w:jc w:val="center"/>
      </w:pPr>
      <w:r>
        <w:rPr>
          <w:b/>
          <w:bCs/>
          <w:sz w:val="22"/>
          <w:szCs w:val="22"/>
        </w:rPr>
        <w:t xml:space="preserve">В качестве третьего лица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Истец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Ответчик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Суть спора (предмет, сумма иска и другие)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Судебный акт первой инстанции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Апелляция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Кассация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8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</w:tr>
    </w:tbl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2026-02-12T04:37:18.478Z</dcterms:created>
  <dcterms:modified xsi:type="dcterms:W3CDTF">2026-02-12T04:37:18.478Z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