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3</w:t>
      </w:r>
    </w:p>
    <w:p>
      <w:pPr>
        <w:jc w:val="center"/>
      </w:pPr>
      <w:r>
        <w:rPr>
          <w:b/>
          <w:bCs/>
          <w:sz w:val="22"/>
          <w:szCs w:val="22"/>
        </w:rPr>
        <w:t xml:space="preserve">Отчет о движении запросов, направленных на согласование права подачи апелляционного, кассационного обжалования судебных актов</w:t>
      </w:r>
    </w:p>
    <w:p>
      <w:pPr>
        <w:jc w:val="center"/>
      </w:pPr>
      <w:r>
        <w:rPr>
          <w:sz w:val="22"/>
          <w:szCs w:val="22"/>
        </w:rPr>
        <w:t xml:space="preserve">по состоянию на 4 квартал 2025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Апелляционная инстанция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Предмет спора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Количество квартал/год*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За отчетный квартал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С начала года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Всего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Из них:
1) иски по вопросам социальных выплат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2) иски по вопросам МСЭ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3) иски по трудовым спорам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4) иски по вопросам миграции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5) иски, предъявленные по другим причинам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Кассационная инстанция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Предмет спора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Количество квартал/год*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За отчетный квартал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С начала года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Всего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Из них:
1) иски по вопросам социальных выплат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2) иски по вопросам МСЭ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3) иски по трудовым спорам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4) иски по вопросам миграции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5) иски, предъявленные по другим причинам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</w:tbl>
    <w:p/>
    <w:p>
      <w:r>
        <w:rPr>
          <w:i/>
          <w:iCs/>
          <w:sz w:val="18"/>
          <w:szCs w:val="18"/>
        </w:rPr>
        <w:t xml:space="preserve">* в графе 2,3,4,5,6,7,8 цифры записываются с помощью дробной черты. Над дробной чертой записывается количество запросов, направленных на согласование за отчетный квартал, под дробной чертой записывается количество направленных на согласование с начала года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2026-02-20T11:57:10.180Z</dcterms:created>
  <dcterms:modified xsi:type="dcterms:W3CDTF">2026-02-20T11:57:10.180Z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