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</w:t>
        <w:br/>
      </w:r>
      <w:r>
        <w:t>Министр труда и социальной защиты населения Республики Казахстан</w:t>
        <w:br/>
      </w:r>
      <w:r>
        <w:t>_______________ Ертаев А.М.</w:t>
        <w:br/>
      </w:r>
      <w:r>
        <w:t>  4 мая 2026 года</w:t>
      </w:r>
    </w:p>
    <w:p/>
    <w:p>
      <w:pPr>
        <w:jc w:val="center"/>
      </w:pPr>
      <w:r>
        <w:rPr>
          <w:b/>
        </w:rPr>
        <w:t>ПЛАН РАБОТЫ №6</w:t>
        <w:br/>
      </w:r>
      <w:r>
        <w:t>территориальных департаментов Комитета регулирования и контроля в сфере социальной защиты населения по показателю Проведение проверки пенсионных выплат по возрасту с признаками предоставления заявителем недостоверных сведений (отчетная группа №360 в АИС «Е-макет»)</w:t>
        <w:br/>
      </w:r>
      <w:r>
        <w:t>на  4 мая 2026 года</w:t>
      </w:r>
    </w:p>
    <w:p/>
    <w:p>
      <w:r>
        <w:t>Курирующее отраслевое СП  - ДСОСС</w:t>
      </w:r>
    </w:p>
    <w:p/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00"/>
        <w:gridCol w:w="2700"/>
        <w:gridCol w:w="1300"/>
        <w:gridCol w:w="1300"/>
        <w:gridCol w:w="1300"/>
        <w:gridCol w:w="1400"/>
        <w:gridCol w:w="1200"/>
      </w:tblGrid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>
                <w:b/>
                <w:bCs/>
              </w:rPr>
              <w:t xml:space="preserve">Территориальные департаменты КРиКСЗН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>
                <w:b/>
                <w:bCs/>
              </w:rPr>
              <w:t xml:space="preserve">Кол-во назн. дел (от кол-ва за пред. месяц)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>
                <w:b/>
                <w:bCs/>
              </w:rPr>
              <w:t xml:space="preserve">Плановый показатель (кол-во)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>
                <w:b/>
                <w:bCs/>
              </w:rPr>
              <w:t xml:space="preserve">Плановый показатель (%)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>
                <w:b/>
                <w:bCs/>
              </w:rPr>
              <w:t xml:space="preserve">Фактический показатель (% проверенных)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>
                <w:b/>
                <w:bCs/>
              </w:rPr>
              <w:t xml:space="preserve">Коэффициент исполнения</w:t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г. Астана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2133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314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14.7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г. Алматы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3151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309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9.8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г. Шымкент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1505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161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10.7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Акмолинская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1486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7.7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Актюбинская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1599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72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4.5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Алматинская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2667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270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10.1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Атырауская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975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60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6.1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Восточно-Казахстанская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1338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133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9.9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Жамбылская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1915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107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5.5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Западно-Казахстанская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1422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76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5.3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Карагандинская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2074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83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Костанайская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1713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105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6.1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Кызылординская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1186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61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5.1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Мангистауская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927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40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4.3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Павлодарская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1641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66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4.0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Северо-Казахстанская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1154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59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5.1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Туркестанская область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2732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204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7.4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Область Абай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1191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130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10.9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Область Улытау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379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29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7.6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20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/>
              <w:t xml:space="preserve">Область Жетысу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1256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203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16.1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>
                <w:b/>
                <w:bCs/>
              </w:rPr>
              <w:t xml:space="preserve">-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before="60" w:after="60"/>
            </w:pPr>
            <w:r>
              <w:rPr>
                <w:b/>
                <w:bCs/>
              </w:rPr>
              <w:t xml:space="preserve">Всего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32444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2597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>7.7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60" w:after="60"/>
            </w:pPr>
            <w:r>
              <w:rPr/>
              <w:t xml:space="preserve"/>
            </w:r>
          </w:p>
        </w:tc>
      </w:tr>
    </w:tbl>
    <w:p/>
    <w:p>
      <w:r>
        <w:t>Председатель КРКССЗН                                                                          И. Скуб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