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История планов работы</w:t>
      </w:r>
    </w:p>
    <w:p>
      <w:pPr>
        <w:spacing w:after="80"/>
        <w:jc w:val="center"/>
      </w:pPr>
      <w:r>
        <w:rPr>
          <w:color w:val="374151"/>
          <w:sz w:val="26"/>
          <w:szCs w:val="26"/>
        </w:rPr>
        <w:t xml:space="preserve">01.05.2026</w:t>
      </w:r>
    </w:p>
    <w:p>
      <w:pPr>
        <w:spacing w:after="200"/>
        <w:jc w:val="center"/>
      </w:pPr>
      <w:r>
        <w:rPr>
          <w:color w:val="6B7280"/>
          <w:sz w:val="22"/>
          <w:szCs w:val="22"/>
        </w:rPr>
        <w:t xml:space="preserve">Снимков в отчёте: 1</w:t>
      </w:r>
    </w:p>
    <w:p>
      <w:r>
        <w:br w:type="page"/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Снимок планов работы за 1 мая 2026 года</w:t>
      </w:r>
    </w:p>
    <w:p>
      <w:pPr>
        <w:pStyle w:val="Heading2"/>
        <w:spacing w:after="80" w:before="200"/>
      </w:pPr>
      <w:r>
        <w:rPr>
          <w:b/>
          <w:bCs/>
          <w:sz w:val="28"/>
          <w:szCs w:val="28"/>
        </w:rPr>
        <w:t xml:space="preserve">План № 6</w:t>
      </w:r>
    </w:p>
    <w:p>
      <w:pPr>
        <w:spacing w:after="80" w:before="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Проведение проверки пенсионных выплат по возрасту с признаками предоставления заявителем недостоверных сведений (отчетная группа №360 в АИС «Е-макет»)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3F4F6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№</w:t>
            </w:r>
          </w:p>
        </w:tc>
        <w:tc>
          <w:tcPr>
            <w:shd w:fill="F3F4F6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Регион</w:t>
            </w:r>
          </w:p>
        </w:tc>
        <w:tc>
          <w:tcPr>
            <w:shd w:fill="F3F4F6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Кол-во дел</w:t>
            </w:r>
          </w:p>
        </w:tc>
        <w:tc>
          <w:tcPr>
            <w:shd w:fill="F3F4F6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План (кол-во)</w:t>
            </w:r>
          </w:p>
        </w:tc>
        <w:tc>
          <w:tcPr>
            <w:shd w:fill="F3F4F6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План (%)</w:t>
            </w:r>
          </w:p>
        </w:tc>
        <w:tc>
          <w:tcPr>
            <w:shd w:fill="F3F4F6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Факт (%)</w:t>
            </w:r>
          </w:p>
        </w:tc>
        <w:tc>
          <w:tcPr>
            <w:shd w:fill="F3F4F6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Коэф.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г. Астана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1634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221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13.2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13.2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г. Алматы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2524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296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11.7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11.7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г. Шымкент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1160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93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8.1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8.1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Акмолинская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1237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87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7.3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7.3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Актюбинская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1249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66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5.2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5.2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Алматинская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2225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186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8.3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8.3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Атырауская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788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28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3.5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3.5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Восточно-Казахстанская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1085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6.5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6.5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Жамбылская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1656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124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7.4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7.4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Западно-Казахстанская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1083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75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6.9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6.9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Карагандинская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1545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73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4.7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4.7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Костанайская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1378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85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6.1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6.1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Кызылординская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1077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53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4.9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4.9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Мангистауская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795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48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Павлодарская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1248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60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4.8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4.8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Северо-Казахстанская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938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65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6.9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6.9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17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Туркестанская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2315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214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9.2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9.2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18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Область Абай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1005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68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6.7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6.7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19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Область Улытау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291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6.8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6.8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Область Жетысу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1042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165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15.8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15.8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tcPr>
            <w:shd w:fill="FEF3C7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shd w:fill="FEF3C7" w:color="auto" w:val="clear"/>
          </w:tcPr>
          <w:p>
            <w:pPr>
              <w:spacing w:after="80" w:before="0"/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Всего</w:t>
            </w:r>
          </w:p>
        </w:tc>
        <w:tc>
          <w:tcPr>
            <w:shd w:fill="FEF3C7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26275</w:t>
            </w:r>
          </w:p>
        </w:tc>
        <w:tc>
          <w:tcPr>
            <w:shd w:fill="FEF3C7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2098</w:t>
            </w:r>
          </w:p>
        </w:tc>
        <w:tc>
          <w:tcPr>
            <w:shd w:fill="FEF3C7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7.5</w:t>
            </w:r>
          </w:p>
        </w:tc>
        <w:tc>
          <w:tcPr>
            <w:shd w:fill="FEF3C7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7.5</w:t>
            </w:r>
          </w:p>
        </w:tc>
        <w:tc>
          <w:tcPr>
            <w:shd w:fill="FEF3C7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История планов работы</dc:title>
  <dc:creator>MTSZN Forms</dc:creator>
  <cp:lastModifiedBy>Un-named</cp:lastModifiedBy>
  <cp:revision>1</cp:revision>
  <dcterms:created xsi:type="dcterms:W3CDTF">2026-05-04T14:01:36.235Z</dcterms:created>
  <dcterms:modified xsi:type="dcterms:W3CDTF">2026-05-04T14:01:36.235Z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