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not been possible,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determination and type identification still depended on manual inspection by engineers, making exhaustive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real-time log ingestion and hourly Failbit Map generation pipeline, establishing a data-processing foundation for large-scale map operations. Second, for Known defects, we improved classification performance with a two-stage structure combining a ConvNeXt V2-based wafer-level first-stage classifier and an ROI-based YOLO second-stage classifier. Third, for Unknown defects, we applied a SimCLR-family self-supervised analysis with grid-structured local sampling for more precise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in the second stage ROI-based YOLO re-examines low-confidence samples and identifies chip-level defect morphologies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 88.6M) and about 39% fewer FLOPs (74.2G → 45.1G). Optuna was then used to optimize fine-tuning hyperparameters such as learning rate, weight decay, focal loss, and class weights,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