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공간적 불량 패턴 해석의 핵심 자료이다. 그러나 기존 시스템은 호출 기반으로 소수의 Map만 조회할 수 있어, 하루 수천 장 규모의 대량 분석을 위해서는 raw data를 별도로 수집해 Failbit Map과 메타데이터로 재구성하는 과정이 먼저 필요했다. 그 결과 실제 현업에서는 Failbit Map 대신 chip별 Measure 평균 기반 분석에 주로 의존해 왔으며, 등록 불량의 세밀한 분류와 미등록 Unknown 불량 후보 발굴을 동시에 수행하기 어려웠다. 본 논문은 이를 해결하기 위해 DRAM Failbit Map 기반 Known·Unknown 불량 분석 AI 아키텍처를 제안한다. Known 경로에서는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직접 검토해야 할 대상을 약 154배 줄인 결과이며, 13개 그룹 모두 설명 가능한 패턴으로 정리되었다. 이 중 7개는 실제 의미 있는 불량 그룹으로 확인되었고, 나머지 후보 역시 1 lot 편중 패턴 또는 현업 불량으로 이어지지 않은 이상 이미지로 정리되어 후속 검토 리스트로 활용되었다. 또한 raw data 재구성, palette-indexed PNG 표현, 고속 UI, 후속 원인 분석용 Measure 연계를 결합함으로써, 제안 아키텍처가 실제 대량 불량 분석 환경에서 동작할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본 논문은 대량 Raw Data를 처리하는 데이터 파이프라인과 Failbit Map 기반 Known 불량 분류 및 Unknown 불량 검출을 통합한 AI 아키텍처를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생성 및 표현 계층</w:t>
      </w:r>
    </w:p>
    <w:p>
      <w:pPr>
        <w:spacing w:line="240" w:lineRule="auto" w:after="40"/>
      </w:pPr>
      <w:r>
        <w:rPr>
          <w:rFonts w:ascii="Times New Roman" w:hAnsi="Times New Roman" w:eastAsia="바탕체"/>
          <w:b w:val="0"/>
          <w:i w:val="0"/>
          <w:sz w:val="20"/>
        </w:rPr>
        <w:t>제안 아키텍처의 기반 계층은 기존 시스템의 호출형 조회만으로는 Known·Unknown AI 분석을 대량 운영 데이터에 적용할 수 없다는 한계를 해결하기 위해, 설비 log 기반 raw data를 서버에서 1시간 주기로 자동 수집하고 이를 Failbit Map 이미지와 메타데이터로 재구성하여 분석과 UI에 동시에 활용할 수 있도록 적재하는 구조이다.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 이러한 정합 구조는 향후 multimodal 분석의 기반으로도 활용될 수 있다.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Backbone 후보로는 Hugging Face에서 제공되는 `facebook/convnextv2-base-22k-384` [8]와 `timm/maxvit_base_tf_384.in21k_ft_in1k` [9,10]를 포함한 사전학습 모델을 비교하였다. MaxViT와 ConvNeXtV2는 분류 성능이 유사했으나, MaxViT의 추론 속도가 더 느려 본 연구에서는 성능-속도 균형이 더 우수한 ConvNeXtV2-Base [4,8]를 최종 backbone으로 채택하였다.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발굴</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정답 label 기반 F1으로 평가하는 대신, 실제 현업에서 필요한 후보 발굴 성과로 평가하였다. 구체적으로는 (1) 하루 2,000장의 검토 대상을 13개 그룹으로 압축한 검토 단위 축소 효과, (2) 각 그룹이 실제 불량, 1 lot 편중 패턴, 이상 이미지 중 하나로 설명 가능한 해석 가능성, (3) 이 중 실제 의미 있는 불량 그룹을 얼마나 발굴했는가의 세 축으로 해석하였다. 분석 담당자 검토 결과 13개 그룹 모두 설명 가능한 패턴으로 정리되었고, 이 중 7개는 실제 의미 있는 불량 그룹으로 확인되었다. 나머지 후보 역시 1 lot 편중 패턴 또는 현업 불량으로 이어지지 않은 이상 이미지로 분류되어, 무의미한 랜덤 군집이 아니라 실제 검토 가치가 있는 후보 묶음을 자동 생성했음을 보여준다.</w:t>
      </w:r>
    </w:p>
    <w:p>
      <w:pPr>
        <w:spacing w:line="240" w:lineRule="auto" w:before="100" w:after="60"/>
      </w:pPr>
      <w:r>
        <w:rPr>
          <w:rFonts w:ascii="Times New Roman" w:hAnsi="Times New Roman" w:eastAsia="바탕체"/>
          <w:b/>
          <w:i w:val="0"/>
          <w:sz w:val="22"/>
        </w:rPr>
        <w:t>2.4 분석 UI와 후속 연계</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대량 이미지 탐색, 후보 선별, 원인 추론, 데이터 등록을 하나의 흐름으로 연결한 분석 체계이다.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비교 및 ConvNeXtV2 개선 단계 (16-class, test Weighted F1)</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구성</w:t>
            </w:r>
          </w:p>
        </w:tc>
        <w:tc>
          <w:tcPr>
            <w:tcW w:type="dxa" w:w="2551"/>
            <w:shd w:val="clear" w:color="auto" w:fill="D9E1F2"/>
          </w:tcPr>
          <w:p>
            <w:pPr>
              <w:jc w:val="center"/>
            </w:pPr>
            <w:r>
              <w:rPr>
                <w:rFonts w:ascii="Times New Roman" w:hAnsi="Times New Roman" w:eastAsia="바탕체"/>
                <w:b/>
                <w:i w:val="0"/>
                <w:sz w:val="18"/>
              </w:rPr>
              <w:t>사전학습</w:t>
            </w:r>
          </w:p>
        </w:tc>
        <w:tc>
          <w:tcPr>
            <w:tcW w:type="dxa" w:w="2551"/>
            <w:shd w:val="clear" w:color="auto" w:fill="D9E1F2"/>
          </w:tcPr>
          <w:p>
            <w:pPr>
              <w:jc w:val="center"/>
            </w:pPr>
            <w:r>
              <w:rPr>
                <w:rFonts w:ascii="Times New Roman" w:hAnsi="Times New Roman" w:eastAsia="바탕체"/>
                <w:b/>
                <w:i w:val="0"/>
                <w:sz w:val="18"/>
              </w:rPr>
              <w:t>Test F1</w:t>
            </w:r>
          </w:p>
        </w:tc>
        <w:tc>
          <w:tcPr>
            <w:tcW w:type="dxa" w:w="2551"/>
            <w:shd w:val="clear" w:color="auto" w:fill="D9E1F2"/>
          </w:tcPr>
          <w:p>
            <w:pPr>
              <w:jc w:val="center"/>
            </w:pPr>
            <w:r>
              <w:rPr>
                <w:rFonts w:ascii="Times New Roman" w:hAnsi="Times New Roman" w:eastAsia="바탕체"/>
                <w:b/>
                <w:i w:val="0"/>
                <w:sz w:val="18"/>
              </w:rPr>
              <w:t>비고</w:t>
            </w:r>
          </w:p>
        </w:tc>
      </w:tr>
      <w:tr>
        <w:tc>
          <w:tcPr>
            <w:tcW w:type="dxa" w:w="2551"/>
          </w:tcPr>
          <w:p>
            <w:pPr>
              <w:jc w:val="left"/>
            </w:pPr>
            <w:r>
              <w:rPr>
                <w:rFonts w:ascii="Times New Roman" w:hAnsi="Times New Roman" w:eastAsia="바탕체"/>
                <w:b w:val="0"/>
                <w:i w:val="0"/>
                <w:sz w:val="18"/>
              </w:rPr>
              <w:t>ViT-Base/16</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0.81</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Swin-Base</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0.84</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EfficientNetV2-M</w:t>
            </w:r>
          </w:p>
        </w:tc>
        <w:tc>
          <w:tcPr>
            <w:tcW w:type="dxa" w:w="2551"/>
          </w:tcPr>
          <w:p>
            <w:pPr>
              <w:jc w:val="center"/>
            </w:pPr>
            <w:r>
              <w:rPr>
                <w:rFonts w:ascii="Times New Roman" w:hAnsi="Times New Roman" w:eastAsia="바탕체"/>
                <w:b w:val="0"/>
                <w:i w:val="0"/>
                <w:sz w:val="18"/>
              </w:rPr>
              <w:t>IN-1k</w:t>
            </w:r>
          </w:p>
        </w:tc>
        <w:tc>
          <w:tcPr>
            <w:tcW w:type="dxa" w:w="2551"/>
          </w:tcPr>
          <w:p>
            <w:pPr>
              <w:jc w:val="center"/>
            </w:pPr>
            <w:r>
              <w:rPr>
                <w:rFonts w:ascii="Times New Roman" w:hAnsi="Times New Roman" w:eastAsia="바탕체"/>
                <w:b w:val="0"/>
                <w:i w:val="0"/>
                <w:sz w:val="18"/>
              </w:rPr>
              <w:t>0.85</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MaxViT-Base</w:t>
            </w:r>
          </w:p>
        </w:tc>
        <w:tc>
          <w:tcPr>
            <w:tcW w:type="dxa" w:w="2551"/>
          </w:tcPr>
          <w:p>
            <w:pPr>
              <w:jc w:val="center"/>
            </w:pPr>
            <w:r>
              <w:rPr>
                <w:rFonts w:ascii="Times New Roman" w:hAnsi="Times New Roman" w:eastAsia="바탕체"/>
                <w:b w:val="0"/>
                <w:i w:val="0"/>
                <w:sz w:val="18"/>
              </w:rPr>
              <w:t>IN-21k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0.87</w:t>
            </w:r>
          </w:p>
        </w:tc>
        <w:tc>
          <w:tcPr>
            <w:tcW w:type="dxa" w:w="2551"/>
          </w:tcPr>
          <w:p>
            <w:pPr>
              <w:jc w:val="center"/>
            </w:pPr>
            <w:r>
              <w:rPr>
                <w:rFonts w:ascii="Times New Roman" w:hAnsi="Times New Roman" w:eastAsia="바탕체"/>
                <w:b w:val="0"/>
                <w:i w:val="0"/>
                <w:sz w:val="18"/>
              </w:rPr>
              <w:t>fine-tuning</w:t>
            </w:r>
          </w:p>
        </w:tc>
      </w:tr>
      <w:tr>
        <w:tc>
          <w:tcPr>
            <w:tcW w:type="dxa" w:w="2551"/>
          </w:tcPr>
          <w:p>
            <w:pPr>
              <w:jc w:val="left"/>
            </w:pPr>
            <w:r>
              <w:rPr>
                <w:rFonts w:ascii="Times New Roman" w:hAnsi="Times New Roman" w:eastAsia="바탕체"/>
                <w:b w:val="0"/>
                <w:i w:val="0"/>
                <w:sz w:val="18"/>
              </w:rPr>
              <w:t>ConvNeXtV2-Base + Optuna HPO</w:t>
            </w:r>
          </w:p>
        </w:tc>
        <w:tc>
          <w:tcPr>
            <w:tcW w:type="dxa" w:w="2551"/>
          </w:tcPr>
          <w:p>
            <w:pPr>
              <w:jc w:val="center"/>
            </w:pPr>
            <w:r>
              <w:rPr>
                <w:rFonts w:ascii="Times New Roman" w:hAnsi="Times New Roman" w:eastAsia="바탕체"/>
                <w:b w:val="0"/>
                <w:i w:val="0"/>
                <w:sz w:val="18"/>
              </w:rPr>
              <w:t>FCMAE + IN-22k</w:t>
            </w:r>
          </w:p>
        </w:tc>
        <w:tc>
          <w:tcPr>
            <w:tcW w:type="dxa" w:w="2551"/>
          </w:tcPr>
          <w:p>
            <w:pPr>
              <w:jc w:val="center"/>
            </w:pPr>
            <w:r>
              <w:rPr>
                <w:rFonts w:ascii="Times New Roman" w:hAnsi="Times New Roman" w:eastAsia="바탕체"/>
                <w:b w:val="0"/>
                <w:i w:val="0"/>
                <w:sz w:val="18"/>
              </w:rPr>
              <w:t>0.92</w:t>
            </w:r>
          </w:p>
        </w:tc>
        <w:tc>
          <w:tcPr>
            <w:tcW w:type="dxa" w:w="2551"/>
          </w:tcPr>
          <w:p>
            <w:pPr>
              <w:jc w:val="center"/>
            </w:pPr>
            <w:r>
              <w:rPr>
                <w:rFonts w:ascii="Times New Roman" w:hAnsi="Times New Roman" w:eastAsia="바탕체"/>
                <w:b w:val="0"/>
                <w:i w:val="0"/>
                <w:sz w:val="18"/>
              </w:rPr>
              <w:t>선택 backbone 최적화</w:t>
            </w:r>
          </w:p>
        </w:tc>
      </w:tr>
      <w:tr>
        <w:tc>
          <w:tcPr>
            <w:tcW w:type="dxa" w:w="2551"/>
            <w:shd w:val="clear" w:color="auto" w:fill="F2F2F2"/>
          </w:tcPr>
          <w:p>
            <w:pPr>
              <w:jc w:val="left"/>
            </w:pPr>
            <w:r>
              <w:rPr>
                <w:rFonts w:ascii="Times New Roman" w:hAnsi="Times New Roman" w:eastAsia="바탕체"/>
                <w:b/>
                <w:i w:val="0"/>
                <w:sz w:val="18"/>
              </w:rPr>
              <w:t>ConvNeXtV2-Base + Optuna + ROI-YOLO</w:t>
            </w:r>
          </w:p>
        </w:tc>
        <w:tc>
          <w:tcPr>
            <w:tcW w:type="dxa" w:w="2551"/>
            <w:shd w:val="clear" w:color="auto" w:fill="F2F2F2"/>
          </w:tcPr>
          <w:p>
            <w:pPr>
              <w:jc w:val="center"/>
            </w:pPr>
            <w:r>
              <w:rPr>
                <w:rFonts w:ascii="Times New Roman" w:hAnsi="Times New Roman" w:eastAsia="바탕체"/>
                <w:b w:val="0"/>
                <w:i w:val="0"/>
                <w:sz w:val="18"/>
              </w:rPr>
              <w:t>FCMAE + IN-22k</w:t>
            </w:r>
          </w:p>
        </w:tc>
        <w:tc>
          <w:tcPr>
            <w:tcW w:type="dxa" w:w="2551"/>
            <w:shd w:val="clear" w:color="auto" w:fill="F2F2F2"/>
          </w:tcPr>
          <w:p>
            <w:pPr>
              <w:jc w:val="center"/>
            </w:pPr>
            <w:r>
              <w:rPr>
                <w:rFonts w:ascii="Times New Roman" w:hAnsi="Times New Roman" w:eastAsia="바탕체"/>
                <w:b w:val="0"/>
                <w:i w:val="0"/>
                <w:sz w:val="18"/>
              </w:rPr>
              <w:t>0.95</w:t>
            </w:r>
          </w:p>
        </w:tc>
        <w:tc>
          <w:tcPr>
            <w:tcW w:type="dxa" w:w="2551"/>
            <w:shd w:val="clear" w:color="auto" w:fill="F2F2F2"/>
          </w:tcPr>
          <w:p>
            <w:pPr>
              <w:jc w:val="center"/>
            </w:pPr>
            <w:r>
              <w:rPr>
                <w:rFonts w:ascii="Times New Roman" w:hAnsi="Times New Roman" w:eastAsia="바탕체"/>
                <w:b w:val="0"/>
                <w:i w:val="0"/>
                <w:sz w:val="18"/>
              </w:rPr>
              <w:t>최종 2단계 구조</w:t>
            </w:r>
          </w:p>
        </w:tc>
      </w:tr>
    </w:tbl>
    <w:p>
      <w:pPr>
        <w:spacing w:before="0" w:after="120"/>
      </w:pPr>
      <w:r>
        <w:rPr>
          <w:sz w:val="8"/>
        </w:rPr>
      </w:r>
    </w:p>
    <w:p>
      <w:pPr>
        <w:spacing w:line="240" w:lineRule="auto" w:after="40"/>
      </w:pPr>
      <w:r>
        <w:rPr>
          <w:rFonts w:ascii="Times New Roman" w:hAnsi="Times New Roman" w:eastAsia="바탕체"/>
          <w:b w:val="0"/>
          <w:i w:val="0"/>
          <w:sz w:val="20"/>
        </w:rPr>
        <w:t>표 1과 같이 backbone fine-tuning 비교에서는 MaxViT와 ConvNeXtV2가 가장 높은 수준의 성능을 보였으나, MaxViT의 추론 속도가 더 느려 본 연구에서는 ConvNeXtV2를 최종 backbone으로 선택하였다. 이후 Optuna 기반 하이퍼파라미터 최적화로 weighted F1을 0.92까지 향상시켰고, 저신뢰 샘플에 대한 선택적 ROI-YOLO 보정을 추가하여 최종 0.95를 달성하였다. 이는 wafer 전역 문맥을 빠르게 판별하는 CNN과 취약 샘플을 국부적으로 재확인하는 ROI-YOLO의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압축하여 검토 단위를 약 154배 축소하였다. 13개 그룹은 모두 실제 의미를 해석할 수 있는 패턴으로 정리되었고, 이 중 7개는 실제 의미 있는 불량 그룹으로 판정되었다. 나머지 후보도 1 lot 편중 패턴 또는 현업 불량으로 이어지지 않은 이상 이미지로 정리되어, 후보 리스트 전체가 검토 가능한 작업 단위로 기능하였다. 즉 Unknown 결과의 핵심은 단순 군집 정확도가 아니라, 대량 운영 이미지에서 실제 검토 가치가 있는 후보 리스트를 안정적으로 생성했다는 점이다.</w:t>
      </w:r>
    </w:p>
    <w:p>
      <w:pPr>
        <w:spacing w:line="240" w:lineRule="auto" w:after="40"/>
      </w:pPr>
      <w:r>
        <w:rPr>
          <w:rFonts w:ascii="Times New Roman" w:hAnsi="Times New Roman" w:eastAsia="바탕체"/>
          <w:b w:val="0"/>
          <w:i w:val="0"/>
          <w:sz w:val="20"/>
        </w:rPr>
        <w:t>또한 raw data 재구성, FTN·QTN 정합, 대량 Map 탐색 UI를 결합함으로써 AI 결과를 후속 원인 분석과 데이터 등록으로 바로 연결할 수 있었다.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그동안 평균 Measure 분석에 가려졌던 Failbit Map을 대량 AI 분석 대상으로 전환하고, Known·Unknown 불량을 하나의 아키텍처 안에서 동시에 다룰 수 있도록 설계했다는 점에 있다. Known 경로에서는 ConvNeXtV2와 선택적 ROI-YOLO의 역할 분리를 통해 높은 분류 성능을 확보하였고, Unknown 경로에서는 contrastive learning 기반 표현 학습과 군집화를 통해 실제 검토 가능한 후보 리스트를 생성할 수 있음을 확인하였다. 또한 raw data 재구성, FTN·QTN 정합, 대량 탐색 UI를 결합하여 AI 결과를 후속 원인 분석까지 연결하였으며, 향후에는 현재 구축한 정합 구조를 바탕으로 Failbit Map 이미지와 FTN·QTN test 정보를 함께 활용하는 multimodal 분석으로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