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rPr>
          <w:rFonts w:ascii="Times New Roman" w:hAnsi="Times New Roman" w:eastAsia="바탕체"/>
          <w:b w:val="0"/>
          <w:sz w:val="20"/>
        </w:rPr>
        <w:t>Fab-out 이후 EDS test에서 생성되는 Failbit Map은 wafer 전 영역의 fail spatial distribution을 고해상도로 담는 핵심 wafer-level 표현이지만, 기존 분석 환경에서는 이를 대량으로 구조화해 해석하기 어렵다. 본 연구는 등록 불량과 미등록 불량이 공존하는 실제 분석 조건을 반영하여, closed-set 분류와 open-set 군집화를 결합한 도메인 지식 기반 통합 AI 파이프라인을 제안한다. 등록 불량 경로에서는 16개 클래스를 대상으로 ConvNeXtV2 기반 global classifier를 구축하고, confidence-triggered Grad-CAM ROI enhancement와 YOLO ROI verifier를 결합하여 전역 배치 정보와 chip-level 미세 패턴을 동시에 반영하도록 설계하였다. 미등록 불량 경로에서는 local-global contrastive embedding과 HDBSCAN을 결합하여 unknown defect 후보를 자동 군집화하고, 대표 샘플 및 cluster summary를 생성하여 전문가 검토와 신규 라벨 확장을 지원하였다. 데이터 계층에서는 Bucket A fail-map 로그의 hex grade block을 Cython으로 고속 변환하고, Bucket B 계측 로그와 정합하여 positions JSON을 생성하였으며, 실제 검사 결과가 약 20개 내외의 이산 색상으로 표현된다는 특성을 이용해 32-color palette-indexed PNG를 채택함으로써 의미 보존, 용량 절감, 사용자별 recoloring을 동시에 달성하였다. 실험 결과, Optuna 기반 최적화로 validation weighted F1를 0.78에서 0.92까지 향상시켰고, 이후 선택적 ROI enhancement를 통해 최종 0.95를 달성하였다. 또한 `BIN`, `FBT`, `QVL`을 포함한 계측 메타데이터를 함께 축적하여 대화형 분석 UI와 향후 이미지-계측 융합 기반 multimodal defect analysis로 확장 가능한 기반을 마련하였다.</w:t>
      </w:r>
    </w:p>
    <w:p>
      <w:pPr>
        <w:spacing w:line="240" w:lineRule="auto" w:before="120" w:after="0"/>
        <w:jc w:val="left"/>
      </w:pPr>
      <w:r>
        <w:rPr>
          <w:rFonts w:ascii="Times New Roman" w:hAnsi="Times New Roman" w:eastAsia="바탕체"/>
          <w:b w:val="0"/>
          <w:sz w:val="20"/>
        </w:rPr>
        <w:t>Keywords: Failbit Map, Wafer Defect Analysis, ConvNeXtV2, Grad-CAM, YOLO, Contrastive Learning, HDBSCAN, Multimodal</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unknown defect를 빠르게 식별할 수 있어야 한다. 셋째, 단순 분류 결과를 넘어서 wafer map, chip 좌표, 계측값, 시각화, 수동 검토를 함께 수행할 수 있는 분석 UI가 필요하다. 이에 본 연구는 데이터 생성부터 등록 불량 분류, 미등록 불량 군집화, UI 기반 검토와 라벨 확장까지 연결되는 통합 구조를 제안한다.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rPr>
          <w:rFonts w:ascii="Times New Roman" w:hAnsi="Times New Roman" w:eastAsia="바탕체"/>
          <w:b w:val="0"/>
          <w:sz w:val="20"/>
        </w:rPr>
        <w:t>입력 데이터는 단일 이미지 파일이 아니라 두 소스의 설비 로그 정합 결과이다. Bucket A에는 primary fail-map raw 파일(`.Z`)이, Bucket B에는 chip-level measurement 로그(`.gz`)가 저장되며, 두 bucket은 wafer 식별 규칙과 시간 오프셋을 이용해 자동 매칭된다. 이후 병렬 다운로드와 압축 해제를 수행한 뒤, Bucket A 로그에 포함된 `X=, Y=, b=` 헤더와 뒤따르는 hex grade block을 파싱하여 chip별 fail map 타일을 복원한다. 이때 한 줄씩 반복 처리하면 병목이 크게 발생하므로, hex 문자에서 grade index로 변환하는 핵심 루프를 Cython으로 구현하여 map array 생성을 가속하였다. Bucket B에서는 `TM`, `LT`, `FTN`, `QTN` 및 chip별 `F/Q` 값을 읽어 positions JSON에 병합한다. 최종 positions JSON에는 `rect`, `grid_edges`, `b`, `f`, `q`와 함께 wafer-level `yield`, `sys`, `lt`, `tm`이 저장되어 이후 분류기와 UI가 동일 좌표계를 공유하도록 한다.</w:t>
      </w:r>
    </w:p>
    <w:p>
      <w:pPr>
        <w:spacing w:line="240" w:lineRule="auto" w:before="0" w:after="0"/>
        <w:jc w:val="left"/>
      </w:pPr>
      <w:r>
        <w:rPr>
          <w:rFonts w:ascii="Times New Roman" w:hAnsi="Times New Roman" w:eastAsia="바탕체"/>
          <w:b w:val="0"/>
          <w:sz w:val="20"/>
        </w:rPr>
        <w:t>본 연구에서 wafer map 저장 포맷으로 `32-color 8-bit palette-indexed PNG`를 채택한 이유 역시 도메인 지식에 기반한다. 실제 생성 이미지의 색상은 자연영상처럼 수천 색 이상을 사용하지 않고, 검사 결과를 표현하는 약 20개 내외의 이산 색상으로 구성된다. 따라서 JPEG와 같은 손실 압축은 의미 보존 측면에서 적합하지 않고, RGB PNG도 표현 효율이 낮다. 반면 palette PNG는 픽셀에 색이 아니라 의미 인덱스를 저장하고 실제 색상 정의를 `PLTE`에서 분리 관리하므로, 동일한 map에 대해 `IDAT` 구조를 유지한 채 사용자별 색상 scheme을 즉시 적용할 수 있다. 이 구조는 UI 시각화뿐 아니라, 향후 이미지와 계측 정보를 함께 사용하는 multimodal 학습의 기반이 된다.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클래스 closed-set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`timm.create_model("convnextv2_base.fcmae_ft_in22k_in1k_384")`를 사용하여 사전학습 가중치를 불러온 후 wafer map 데이터로 fine-tuning하였다. 총 약 1500개 수준의 데이터와 클래스별 샘플 편차 조건에서는 대규모 데이터에 강한 ViT 계열보다 ConvNeXtV2가 더 데이터 효율적으로 동작하였다. Optuna 기반 하이퍼파라미터 탐색을 통해 validation weighted F1를 0.78에서 0.92까지 향상시켰다.</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ROI enhancement를 설계하였다. 1차 분류 결과와 confidence를 바탕으로 difficult class 또는 low-confidence sample만 선별하고, 해당 샘플에 대해서만 Grad-CAM 기반 ROI를 추출한 뒤 YOLO 검증을 수행한다.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미등록 불량 경로와 분석 UI</w:t>
      </w:r>
    </w:p>
    <w:p>
      <w:pPr>
        <w:spacing w:line="240" w:lineRule="auto" w:before="0" w:after="0"/>
        <w:jc w:val="left"/>
      </w:pPr>
      <w:r>
        <w:rPr>
          <w:rFonts w:ascii="Times New Roman" w:hAnsi="Times New Roman" w:eastAsia="바탕체"/>
          <w:b w:val="0"/>
          <w:sz w:val="20"/>
        </w:rPr>
        <w:t>unknown defect에 대해서는 ConvNeXtV2 backbone 기반 자기지도 대조 학습과 HDBSCAN 군집화를 결합하였다. 초기에는 특정 group을 강하게 묶는 label-aware objective도 시험하였으나, 일부 group에는 유리해도 다양성이 큰 unknown 전반에는 오히려 불리했다.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문헌에서 흔히 권장되는 random point local sampling 대신, wafer map에서 공정 의미가 큰 center 및 edge 영역을 보존하는 structured local anchor를 사용하였다. 또한 좌우·상하 반전은 적용하지 않았다. 외형이 유사하더라도 발생 위치와 방향이 달라지면 공정 원인이 달라질 수 있기 때문이다. Global InfoNCE, Local InfoNCE, HDBSCAN quality filter(size, median probability, persistence)를 조합하여 cluster 안정성을 확보하고, medoid representative를 저장하여 전문가 검토 부담을 줄였다. cluster 후보는 UI에서 확인하고 신규 라벨로 등록하여 supervised path에 편입될 수 있다.</w:t>
      </w:r>
    </w:p>
    <w:p>
      <w:pPr>
        <w:spacing w:line="240" w:lineRule="auto" w:before="0" w:after="0"/>
        <w:jc w:val="left"/>
      </w:pPr>
      <w:r>
        <w:rPr>
          <w:rFonts w:ascii="Times New Roman" w:hAnsi="Times New Roman" w:eastAsia="바탕체"/>
          <w:b w:val="0"/>
          <w:sz w:val="20"/>
        </w:rPr>
        <w:t>`mapviewer`는 단순한 결과 viewer가 아니라, wafer map의 의미 인덱스 구조와 chip-level 계측값을 함께 해석하는 분석 인터페이스이다. 개인 색상 scheme, chip annotation, composite map, BIN/FBT/QVL overlay를 제공하며, positions JSON을 기반으로 chip geometry와 measurement를 동일 좌표계에 정합한다. 즉, 등록 불량 오분류 재검토, unknown cluster 대표 샘플 확인, 신규 라벨 등록을 하나의 workflow로 연결하는 분석 환경으로 기능한다.</w:t>
      </w:r>
    </w:p>
    <w:p>
      <w:pPr>
        <w:spacing w:line="240" w:lineRule="auto" w:before="200" w:after="120"/>
        <w:jc w:val="left"/>
      </w:pPr>
      <w:r>
        <w:rPr>
          <w:rFonts w:ascii="Times New Roman" w:hAnsi="Times New Roman" w:eastAsia="바탕체"/>
          <w:b/>
          <w:sz w:val="18"/>
        </w:rPr>
        <w:t>Figure 1. 시스템 아키텍처 개념도 삽입 권장</w:t>
      </w:r>
    </w:p>
    <w:p>
      <w:pPr>
        <w:spacing w:line="240" w:lineRule="auto" w:before="0" w:after="0"/>
        <w:jc w:val="left"/>
      </w:pPr>
      <w:r>
        <w:rPr>
          <w:rFonts w:ascii="Times New Roman" w:hAnsi="Times New Roman" w:eastAsia="바탕체"/>
          <w:b w:val="0"/>
          <w:sz w:val="20"/>
        </w:rPr>
        <w:t>`fail-map → image_classification (CNN+ROI+YOLO / Contrastive+HDBSCAN) → mapviewer`</w:t>
      </w:r>
    </w:p>
    <w:p>
      <w:pPr>
        <w:spacing w:line="240" w:lineRule="auto" w:before="200" w:after="200"/>
        <w:jc w:val="left"/>
      </w:pPr>
      <w:r>
        <w:rPr>
          <w:rFonts w:ascii="Times New Roman" w:hAnsi="Times New Roman" w:eastAsia="바탕체"/>
          <w:b/>
          <w:sz w:val="22"/>
        </w:rPr>
        <w:t>3. 실험 결과 및 논의</w:t>
      </w:r>
    </w:p>
    <w:p>
      <w:pPr>
        <w:spacing w:line="240" w:lineRule="auto" w:before="0" w:after="0"/>
        <w:jc w:val="left"/>
      </w:pPr>
      <w:r>
        <w:rPr>
          <w:rFonts w:ascii="Times New Roman" w:hAnsi="Times New Roman" w:eastAsia="바탕체"/>
          <w:b w:val="0"/>
          <w:sz w:val="20"/>
        </w:rPr>
        <w:t>등록 불량 경로에서는 backbone 비교 결과 ConvNeXtV2가 가장 우수한 validation weighted F1를 보였으며, Optuna 기반 최적화 이후 1-stage 기준 0.92를 달성하였다. 이후 ROI enhancement와 YOLO 보정을 통해 0.95까지 향상되었다. 특히 edge, local, center 부근 패턴처럼 macro 관점에서 유사하게 보이는 경우의 혼동 감소가 주요 성능 향상 요인이었다.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rPr>
          <w:rFonts w:ascii="Times New Roman" w:hAnsi="Times New Roman" w:eastAsia="바탕체"/>
          <w:b w:val="0"/>
          <w:sz w:val="20"/>
        </w:rPr>
        <w:t>unknown 경로의 목적은 closed-set accuracy를 높이는 것이 아니라, 신규 불량 후보를 얼마나 안정적으로 압축하여 전문가 검토가 가능한 구조로 제시하는가에 있다. 따라서 평가는 cluster purity, NMI, ARI, kept cluster coverage, noise ratio와 같은 open-set 군집 품질 지표로 해석하는 것이 적절하다. 본 시스템은 unknown defect를 곧바로 정답 클래스로 예측하는 대신, 검토 가능한 cluster 후보와 대표 샘플을 생성하여 라벨 확장 루프를 지원한다는 점에서 실용적 의미를 가진다.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
              <w:rPr>
                <w:rFonts w:ascii="Times New Roman" w:hAnsi="Times New Roman" w:eastAsia="바탕체"/>
                <w:b/>
                <w:sz w:val="18"/>
              </w:rPr>
              <w:t>Backbone</w:t>
            </w:r>
          </w:p>
        </w:tc>
        <w:tc>
          <w:tcPr>
            <w:tcW w:type="dxa" w:w="2381"/>
            <w:vAlign w:val="center"/>
          </w:tcPr>
          <w:p>
            <w:pPr>
              <w:spacing w:line="240" w:lineRule="auto" w:before="0" w:after="0"/>
              <w:jc w:val="left"/>
            </w:pPr>
            <w:r/>
            <w:r>
              <w:rPr>
                <w:rFonts w:ascii="Times New Roman" w:hAnsi="Times New Roman" w:eastAsia="바탕체"/>
                <w:b/>
                <w:sz w:val="18"/>
              </w:rPr>
              <w:t>Input</w:t>
            </w:r>
          </w:p>
        </w:tc>
        <w:tc>
          <w:tcPr>
            <w:tcW w:type="dxa" w:w="1701"/>
            <w:vAlign w:val="center"/>
          </w:tcPr>
          <w:p>
            <w:pPr>
              <w:spacing w:line="240" w:lineRule="auto" w:before="0" w:after="0"/>
              <w:jc w:val="left"/>
            </w:pPr>
            <w:r/>
            <w:r>
              <w:rPr>
                <w:rFonts w:ascii="Times New Roman" w:hAnsi="Times New Roman" w:eastAsia="바탕체"/>
                <w:b/>
                <w:sz w:val="18"/>
              </w:rPr>
              <w:t>Method</w:t>
            </w:r>
          </w:p>
        </w:tc>
        <w:tc>
          <w:tcPr>
            <w:tcW w:type="dxa" w:w="1247"/>
            <w:vAlign w:val="center"/>
          </w:tcPr>
          <w:p>
            <w:pPr>
              <w:spacing w:line="240" w:lineRule="auto" w:before="0" w:after="0"/>
              <w:jc w:val="left"/>
            </w:pPr>
            <w:r/>
            <w:r>
              <w:rPr>
                <w:rFonts w:ascii="Times New Roman" w:hAnsi="Times New Roman" w:eastAsia="바탕체"/>
                <w:b/>
                <w:sz w:val="18"/>
              </w:rPr>
              <w:t>Weighted F1</w:t>
            </w:r>
          </w:p>
        </w:tc>
      </w:tr>
      <w:tr>
        <w:tc>
          <w:tcPr>
            <w:tcW w:type="dxa" w:w="1587"/>
            <w:vAlign w:val="center"/>
          </w:tcPr>
          <w:p>
            <w:pPr>
              <w:spacing w:line="240" w:lineRule="auto" w:before="0" w:after="0"/>
              <w:jc w:val="left"/>
            </w:pPr>
            <w:r/>
            <w:r>
              <w:rPr>
                <w:rFonts w:ascii="Times New Roman" w:hAnsi="Times New Roman" w:eastAsia="바탕체"/>
                <w:b w:val="0"/>
                <w:sz w:val="18"/>
              </w:rPr>
              <w:t>EfficientNetV2-M</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0.88</w:t>
            </w:r>
          </w:p>
        </w:tc>
      </w:tr>
      <w:tr>
        <w:tc>
          <w:tcPr>
            <w:tcW w:type="dxa" w:w="1587"/>
            <w:vAlign w:val="center"/>
          </w:tcPr>
          <w:p>
            <w:pPr>
              <w:spacing w:line="240" w:lineRule="auto" w:before="0" w:after="0"/>
              <w:jc w:val="left"/>
            </w:pPr>
            <w:r/>
            <w:r>
              <w:rPr>
                <w:rFonts w:ascii="Times New Roman" w:hAnsi="Times New Roman" w:eastAsia="바탕체"/>
                <w:b w:val="0"/>
                <w:sz w:val="18"/>
              </w:rPr>
              <w:t>MaxViT-Base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0.89</w:t>
            </w:r>
          </w:p>
        </w:tc>
      </w:tr>
      <w:tr>
        <w:tc>
          <w:tcPr>
            <w:tcW w:type="dxa" w:w="1587"/>
            <w:vAlign w:val="center"/>
          </w:tcPr>
          <w:p>
            <w:pPr>
              <w:spacing w:line="240" w:lineRule="auto" w:before="0" w:after="0"/>
              <w:jc w:val="left"/>
            </w:pPr>
            <w:r/>
            <w:r>
              <w:rPr>
                <w:rFonts w:ascii="Times New Roman" w:hAnsi="Times New Roman" w:eastAsia="바탕체"/>
                <w:b w:val="0"/>
                <w:sz w:val="18"/>
              </w:rPr>
              <w:t>ViT-Base/16</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0.87</w:t>
            </w:r>
          </w:p>
        </w:tc>
      </w:tr>
      <w:tr>
        <w:tc>
          <w:tcPr>
            <w:tcW w:type="dxa" w:w="1587"/>
            <w:vAlign w:val="center"/>
          </w:tcPr>
          <w:p>
            <w:pPr>
              <w:spacing w:line="240" w:lineRule="auto" w:before="0" w:after="0"/>
              <w:jc w:val="left"/>
            </w:pPr>
            <w:r/>
            <w:r>
              <w:rPr>
                <w:rFonts w:ascii="Times New Roman" w:hAnsi="Times New Roman" w:eastAsia="바탕체"/>
                <w:b w:val="0"/>
                <w:sz w:val="18"/>
              </w:rPr>
              <w:t>Swin-Base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0.90</w:t>
            </w:r>
          </w:p>
        </w:tc>
      </w:tr>
      <w:tr>
        <w:tc>
          <w:tcPr>
            <w:tcW w:type="dxa" w:w="1587"/>
            <w:vAlign w:val="center"/>
          </w:tcPr>
          <w:p>
            <w:pPr>
              <w:spacing w:line="240" w:lineRule="auto" w:before="0" w:after="0"/>
              <w:jc w:val="left"/>
            </w:pPr>
            <w:r/>
            <w:r>
              <w:rPr>
                <w:rFonts w:ascii="Times New Roman" w:hAnsi="Times New Roman" w:eastAsia="바탕체"/>
                <w:b w:val="0"/>
                <w:sz w:val="18"/>
              </w:rPr>
              <w:t>ConvNeXtV2-Base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Stage</w:t>
            </w:r>
          </w:p>
        </w:tc>
        <w:tc>
          <w:tcPr>
            <w:tcW w:type="dxa" w:w="3307"/>
            <w:vAlign w:val="center"/>
          </w:tcPr>
          <w:p>
            <w:pPr>
              <w:spacing w:line="240" w:lineRule="auto" w:before="0" w:after="0"/>
              <w:jc w:val="left"/>
            </w:pPr>
            <w:r/>
            <w:r>
              <w:rPr>
                <w:rFonts w:ascii="Times New Roman" w:hAnsi="Times New Roman" w:eastAsia="바탕체"/>
                <w:b/>
                <w:sz w:val="18"/>
              </w:rPr>
              <w:t>Configuration</w:t>
            </w:r>
          </w:p>
        </w:tc>
        <w:tc>
          <w:tcPr>
            <w:tcW w:type="dxa" w:w="3307"/>
            <w:vAlign w:val="center"/>
          </w:tcPr>
          <w:p>
            <w:pPr>
              <w:spacing w:line="240" w:lineRule="auto" w:before="0" w:after="0"/>
              <w:jc w:val="left"/>
            </w:pPr>
            <w:r/>
            <w:r>
              <w:rPr>
                <w:rFonts w:ascii="Times New Roman" w:hAnsi="Times New Roman" w:eastAsia="바탕체"/>
                <w:b/>
                <w:sz w:val="18"/>
              </w:rPr>
              <w:t>Weighted F1</w:t>
            </w:r>
          </w:p>
        </w:tc>
      </w:tr>
      <w:tr>
        <w:tc>
          <w:tcPr>
            <w:tcW w:type="dxa" w:w="3307"/>
            <w:vAlign w:val="center"/>
          </w:tcPr>
          <w:p>
            <w:pPr>
              <w:spacing w:line="240" w:lineRule="auto" w:before="0" w:after="0"/>
              <w:jc w:val="left"/>
            </w:pPr>
            <w:r/>
            <w:r>
              <w:rPr>
                <w:rFonts w:ascii="Times New Roman" w:hAnsi="Times New Roman" w:eastAsia="바탕체"/>
                <w:b w:val="0"/>
                <w:sz w:val="18"/>
              </w:rPr>
              <w:t>Baseline</w:t>
            </w:r>
          </w:p>
        </w:tc>
        <w:tc>
          <w:tcPr>
            <w:tcW w:type="dxa" w:w="3307"/>
            <w:vAlign w:val="center"/>
          </w:tcPr>
          <w:p>
            <w:pPr>
              <w:spacing w:line="240" w:lineRule="auto" w:before="0" w:after="0"/>
              <w:jc w:val="left"/>
            </w:pPr>
            <w:r/>
            <w:r>
              <w:rPr>
                <w:rFonts w:ascii="Times New Roman" w:hAnsi="Times New Roman" w:eastAsia="바탕체"/>
                <w:b w:val="0"/>
                <w:sz w:val="18"/>
              </w:rPr>
              <w:t>Initial CNN</w:t>
            </w:r>
          </w:p>
        </w:tc>
        <w:tc>
          <w:tcPr>
            <w:tcW w:type="dxa" w:w="3307"/>
            <w:vAlign w:val="center"/>
          </w:tcPr>
          <w:p>
            <w:pPr>
              <w:spacing w:line="240" w:lineRule="auto" w:before="0" w:after="0"/>
              <w:jc w:val="left"/>
            </w:pPr>
            <w:r/>
            <w:r>
              <w:rPr>
                <w:rFonts w:ascii="Times New Roman" w:hAnsi="Times New Roman" w:eastAsia="바탕체"/>
                <w:b w:val="0"/>
                <w:sz w:val="18"/>
              </w:rPr>
              <w:t>0.78</w:t>
            </w:r>
          </w:p>
        </w:tc>
      </w:tr>
      <w:tr>
        <w:tc>
          <w:tcPr>
            <w:tcW w:type="dxa" w:w="3307"/>
            <w:vAlign w:val="center"/>
          </w:tcPr>
          <w:p>
            <w:pPr>
              <w:spacing w:line="240" w:lineRule="auto" w:before="0" w:after="0"/>
              <w:jc w:val="left"/>
            </w:pPr>
            <w:r/>
            <w:r>
              <w:rPr>
                <w:rFonts w:ascii="Times New Roman" w:hAnsi="Times New Roman" w:eastAsia="바탕체"/>
                <w:b w:val="0"/>
                <w:sz w:val="18"/>
              </w:rPr>
              <w:t>Stage 1</w:t>
            </w:r>
          </w:p>
        </w:tc>
        <w:tc>
          <w:tcPr>
            <w:tcW w:type="dxa" w:w="3307"/>
            <w:vAlign w:val="center"/>
          </w:tcPr>
          <w:p>
            <w:pPr>
              <w:spacing w:line="240" w:lineRule="auto" w:before="0" w:after="0"/>
              <w:jc w:val="left"/>
            </w:pPr>
            <w:r/>
            <w:r>
              <w:rPr>
                <w:rFonts w:ascii="Times New Roman" w:hAnsi="Times New Roman" w:eastAsia="바탕체"/>
                <w:b w:val="0"/>
                <w:sz w:val="18"/>
              </w:rPr>
              <w:t>ConvNeXtV2 + Optuna</w:t>
            </w:r>
          </w:p>
        </w:tc>
        <w:tc>
          <w:tcPr>
            <w:tcW w:type="dxa" w:w="3307"/>
            <w:vAlign w:val="center"/>
          </w:tcPr>
          <w:p>
            <w:pPr>
              <w:spacing w:line="240" w:lineRule="auto" w:before="0" w:after="0"/>
              <w:jc w:val="left"/>
            </w:pPr>
            <w:r/>
            <w:r>
              <w:rPr>
                <w:rFonts w:ascii="Times New Roman" w:hAnsi="Times New Roman" w:eastAsia="바탕체"/>
                <w:b w:val="0"/>
                <w:sz w:val="18"/>
              </w:rPr>
              <w:t>0.92</w:t>
            </w:r>
          </w:p>
        </w:tc>
      </w:tr>
      <w:tr>
        <w:tc>
          <w:tcPr>
            <w:tcW w:type="dxa" w:w="3307"/>
            <w:vAlign w:val="center"/>
          </w:tcPr>
          <w:p>
            <w:pPr>
              <w:spacing w:line="240" w:lineRule="auto" w:before="0" w:after="0"/>
              <w:jc w:val="left"/>
            </w:pPr>
            <w:r/>
            <w:r>
              <w:rPr>
                <w:rFonts w:ascii="Times New Roman" w:hAnsi="Times New Roman" w:eastAsia="바탕체"/>
                <w:b w:val="0"/>
                <w:sz w:val="18"/>
              </w:rPr>
              <w:t>Stage 2</w:t>
            </w:r>
          </w:p>
        </w:tc>
        <w:tc>
          <w:tcPr>
            <w:tcW w:type="dxa" w:w="3307"/>
            <w:vAlign w:val="center"/>
          </w:tcPr>
          <w:p>
            <w:pPr>
              <w:spacing w:line="240" w:lineRule="auto" w:before="0" w:after="0"/>
              <w:jc w:val="left"/>
            </w:pPr>
            <w:r/>
            <w:r>
              <w:rPr>
                <w:rFonts w:ascii="Times New Roman" w:hAnsi="Times New Roman" w:eastAsia="바탕체"/>
                <w:b w:val="0"/>
                <w:sz w:val="18"/>
              </w:rPr>
              <w:t>+ ROI enhancement + YOLO</w:t>
            </w:r>
          </w:p>
        </w:tc>
        <w:tc>
          <w:tcPr>
            <w:tcW w:type="dxa" w:w="3307"/>
            <w:vAlign w:val="center"/>
          </w:tcPr>
          <w:p>
            <w:pPr>
              <w:spacing w:line="240" w:lineRule="auto" w:before="0" w:after="0"/>
              <w:jc w:val="left"/>
            </w:pPr>
            <w:r/>
            <w:r>
              <w:rPr>
                <w:rFonts w:ascii="Times New Roman" w:hAnsi="Times New Roman" w:eastAsia="바탕체"/>
                <w:b w:val="0"/>
                <w:sz w:val="18"/>
              </w:rPr>
              <w:t>0.95</w:t>
            </w:r>
          </w:p>
        </w:tc>
      </w:tr>
    </w:tbl>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rPr>
          <w:rFonts w:ascii="Times New Roman" w:hAnsi="Times New Roman" w:eastAsia="바탕체"/>
          <w:b w:val="0"/>
          <w:sz w:val="20"/>
        </w:rPr>
        <w:t>본 연구는 반도체 웨이퍼 불량 분석을 위해 데이터 생성, 등록 불량 분류, 미등록 불량 군집화, 분석 UI를 하나의 파이프라인으로 통합하였다. dual-bucket 로그 정합과 Cython 기반 파싱을 통해 이미지와 계측값을 함께 생성하고, palette-indexed PNG와 positions JSON 기반 표현을 구축하였다. 등록 불량 경로에서는 ConvNeXtV2와 Optuna 기반 최적화로 1-stage 성능을 향상시켰고, Grad-CAM ROI와 YOLO 이차 검증을 통해 최종 0.95를 달성하였다. 미등록 불량 경로에서는 Contrastive Learning과 HDBSCAN을 통해 unknown defect 후보를 자동 군집화하고, 전문가 검토 기반 신규 라벨 확장 구조를 마련하였다. 또한 BIN, FBT, QVL 계측값을 이미지와 함께 정합 저장함으로써, 향후 이미지-계측 융합 기반 multimodal defect analysis로 확장 가능한 기반을 확보하였다.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