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20"/>
        <w:jc w:val="left"/>
      </w:pPr>
      <w:r>
        <w:drawing>
          <wp:inline xmlns:a="http://schemas.openxmlformats.org/drawingml/2006/main" xmlns:pic="http://schemas.openxmlformats.org/drawingml/2006/picture">
            <wp:extent cx="2088000" cy="798854"/>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088000" cy="798854"/>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4).</w:t>
      </w:r>
    </w:p>
    <w:p>
      <w:pPr>
        <w:spacing w:before="0" w:after="0"/>
        <w:jc w:val="center"/>
      </w:pPr>
      <w:r>
        <w:drawing>
          <wp:inline xmlns:a="http://schemas.openxmlformats.org/drawingml/2006/main" xmlns:pic="http://schemas.openxmlformats.org/drawingml/2006/picture">
            <wp:extent cx="3200400" cy="791664"/>
            <wp:docPr id="2" name="Picture 2"/>
            <wp:cNvGraphicFramePr>
              <a:graphicFrameLocks noChangeAspect="1"/>
            </wp:cNvGraphicFramePr>
            <a:graphic>
              <a:graphicData uri="http://schemas.openxmlformats.org/drawingml/2006/picture">
                <pic:pic>
                  <pic:nvPicPr>
                    <pic:cNvPr id="0" name="codex_rev112_fig4.png"/>
                    <pic:cNvPicPr/>
                  </pic:nvPicPr>
                  <pic:blipFill>
                    <a:blip r:embed="rId10"/>
                    <a:stretch>
                      <a:fillRect/>
                    </a:stretch>
                  </pic:blipFill>
                  <pic:spPr>
                    <a:xfrm>
                      <a:off x="0" y="0"/>
                      <a:ext cx="3200400" cy="791664"/>
                    </a:xfrm>
                    <a:prstGeom prst="rect"/>
                  </pic:spPr>
                </pic:pic>
              </a:graphicData>
            </a:graphic>
          </wp:inline>
        </w:drawing>
      </w:r>
    </w:p>
    <w:p>
      <w:pPr>
        <w:spacing w:before="0" w:after="0"/>
        <w:jc w:val="center"/>
      </w:pPr>
      <w:r>
        <w:t>Fig. 4. Unknown 불량 grouping. 13개 후보 그룹 중 7개가 실제 불량 그룹으로 판정.</w:t>
      </w:r>
    </w:p>
    <w:p>
      <w:pPr>
        <w:spacing w:line="240" w:lineRule="auto" w:before="200" w:after="200"/>
      </w:pPr>
      <w:r>
        <w:rPr>
          <w:rFonts w:ascii="Times New Roman" w:hAnsi="Times New Roman" w:eastAsia="바탕체"/>
          <w:b/>
          <w:i w:val="0"/>
          <w:sz w:val="22"/>
        </w:rPr>
        <w:t>3. 실험 결과</w:t>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t xml:space="preserve">MaxViT 대비 60%</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파이프라인과 Known·Unknown 통합 AI 아키텍처로 Failbit Map을 수작업 시각 자료에서 대량 운영 데이터 기반 핵심 분석 단위로 전환하였다. 현재 DRAM 생산 라인에서 운영 중이며, 향후 전 제품군 확산과 FTN·QTN, chip별 probe voltage margin, 공정 파라미터(etch CD, implant dose) 결합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