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수율 저하 원인 추적에 사각지대가 발생할 수 있다. 따라서 정밀한 원인 분석을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grid structured local sampling을 적용하여 동일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 i번째 입력 Hex 문자열을 h_i라 할 때, 십진수 변환값 v_i와 최종 Grade g_i의 디코딩 수식은 다음과 같다.</w:t>
      </w:r>
    </w:p>
    <w:p>
      <w:pPr>
        <w:spacing w:line="240" w:lineRule="auto" w:before="40" w:after="80"/>
        <w:jc w:val="center"/>
      </w:pPr>
      <w:r>
        <w:rPr>
          <w:rFonts w:ascii="Times New Roman" w:hAnsi="Times New Roman" w:eastAsia="바탕체"/>
          <w:b w:val="0"/>
          <w:i/>
          <w:sz w:val="20"/>
        </w:rPr>
        <w:t>v_i = int(h_i, 16)</w:t>
      </w:r>
      <w:r>
        <w:rPr>
          <w:rFonts w:ascii="Times New Roman" w:hAnsi="Times New Roman" w:eastAsia="바탕체"/>
          <w:b w:val="0"/>
          <w:i w:val="0"/>
          <w:sz w:val="20"/>
        </w:rPr>
        <w:t xml:space="preserve">        (1)</w:t>
      </w:r>
    </w:p>
    <w:p>
      <w:pPr>
        <w:spacing w:line="240" w:lineRule="auto" w:before="40" w:after="80"/>
        <w:jc w:val="center"/>
      </w:pPr>
      <w:r>
        <w:rPr>
          <w:rFonts w:ascii="Times New Roman" w:hAnsi="Times New Roman" w:eastAsia="바탕체"/>
          <w:b w:val="0"/>
          <w:i/>
          <w:sz w:val="20"/>
        </w:rPr>
        <w:t>g_i = max(v_i − 9, 0)</w:t>
      </w:r>
      <w:r>
        <w:rPr>
          <w:rFonts w:ascii="Times New Roman" w:hAnsi="Times New Roman" w:eastAsia="바탕체"/>
          <w:b w:val="0"/>
          <w:i w:val="0"/>
          <w:sz w:val="20"/>
        </w:rPr>
        <w:t xml:space="preserve">        (2)</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32-색 팔레트 P를 정의하고 각 픽셀을 팔레트 인덱스로 치환하며, 좌표 (x,y)에서의 RGB 값은 인덱스 맵 I_idx를 통해 다음과 같이 매핑된다.</w:t>
      </w:r>
    </w:p>
    <w:p>
      <w:pPr>
        <w:spacing w:line="240" w:lineRule="auto" w:before="40" w:after="80"/>
        <w:jc w:val="center"/>
      </w:pPr>
      <w:r>
        <w:rPr>
          <w:rFonts w:ascii="Times New Roman" w:hAnsi="Times New Roman" w:eastAsia="바탕체"/>
          <w:b w:val="0"/>
          <w:i/>
          <w:sz w:val="20"/>
        </w:rPr>
        <w:t>I_rgb(x,y) = P[I_idx(x,y)],   I_idx(x,y) ∈ {0,1,…,31}</w:t>
      </w:r>
      <w:r>
        <w:rPr>
          <w:rFonts w:ascii="Times New Roman" w:hAnsi="Times New Roman" w:eastAsia="바탕체"/>
          <w:b w:val="0"/>
          <w:i w:val="0"/>
          <w:sz w:val="20"/>
        </w:rPr>
        <w:t xml:space="preserve">        (3)</w:t>
      </w:r>
    </w:p>
    <w:p>
      <w:pPr>
        <w:spacing w:line="240" w:lineRule="auto" w:after="40"/>
      </w:pPr>
      <w:r>
        <w:rPr>
          <w:rFonts w:ascii="Times New Roman" w:hAnsi="Times New Roman" w:eastAsia="바탕체"/>
          <w:b w:val="0"/>
          <w:i w:val="0"/>
          <w:sz w:val="20"/>
        </w:rPr>
        <w:t>Measure 로그와 wafer ID 기준 매칭으로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088000" cy="798854"/>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088000" cy="798854"/>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 classes,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Pretraining</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파이프라인과 Known·Unknown 통합 AI 아키텍처로 Failbit Map을 수작업 시각 자료에서 대량 운영 데이터 기반 핵심 분석 단위로 전환하였다. 현재 DRAM 생산 라인에서 운영 중이며, 향후 전 제품군 확산과 FTN·QTN 기반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