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40"/>
      </w:pPr>
      <w:r>
        <w:rPr>
          <w:rFonts w:ascii="Times New Roman" w:hAnsi="Times New Roman" w:eastAsia="바탕체"/>
          <w:b w:val="0"/>
          <w:i w:val="0"/>
          <w:sz w:val="20"/>
        </w:rPr>
        <w:t>이러한 파이프라인으로 생성된 경량화 Failbit Map은 다음의 Known 불량 및 Unknown 불량 분석 AI 입력으로 사용된다.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1,500개의 라벨된 Failbit Map으로 ConvNeXtV2[1] 기반 1단계 wafer-level 분류기와 저신뢰 샘플 대상 2단계 ROI 기반 YOLO를 구성하였다.</w:t>
      </w:r>
    </w:p>
    <w:p>
      <w:pPr>
        <w:spacing w:line="240" w:lineRule="auto" w:after="40"/>
      </w:pPr>
      <w:r>
        <w:rPr>
          <w:rFonts w:ascii="Times New Roman" w:hAnsi="Times New Roman" w:eastAsia="바탕체"/>
          <w:b w:val="0"/>
          <w:i w:val="0"/>
          <w:sz w:val="20"/>
        </w:rPr>
        <w:t>혼동되는 클래스는 wafer 내 defect chip distribution은 유사하지만 defect chip 내부 pixel morphology가 다르므로, 2단계 ROI-YOLO가 국소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Baseline CNN</w:t>
            </w:r>
          </w:p>
        </w:tc>
        <w:tc>
          <w:tcPr>
            <w:tcW w:type="dxa" w:w="1077"/>
          </w:tcPr>
          <w:p>
            <w:pPr>
              <w:jc w:val="center"/>
            </w:pPr>
            <w:r>
              <w:rPr>
                <w:rFonts w:ascii="Times New Roman" w:hAnsi="Times New Roman" w:eastAsia="바탕체"/>
                <w:b w:val="0"/>
                <w:i w:val="0"/>
                <w:sz w:val="16"/>
              </w:rPr>
              <w:t>-</w:t>
            </w:r>
          </w:p>
        </w:tc>
        <w:tc>
          <w:tcPr>
            <w:tcW w:type="dxa" w:w="567"/>
          </w:tcPr>
          <w:p>
            <w:pPr>
              <w:jc w:val="center"/>
            </w:pPr>
            <w:r>
              <w:rPr>
                <w:rFonts w:ascii="Times New Roman" w:hAnsi="Times New Roman" w:eastAsia="바탕체"/>
                <w:b w:val="0"/>
                <w:i w:val="0"/>
                <w:sz w:val="16"/>
              </w:rPr>
              <w:t>0.78</w:t>
            </w:r>
          </w:p>
        </w:tc>
        <w:tc>
          <w:tcPr>
            <w:tcW w:type="dxa" w:w="907"/>
          </w:tcPr>
          <w:p>
            <w:pPr>
              <w:jc w:val="center"/>
            </w:pPr>
            <w:r>
              <w:rPr>
                <w:rFonts w:ascii="Times New Roman" w:hAnsi="Times New Roman" w:eastAsia="바탕체"/>
                <w:b w:val="0"/>
                <w:i w:val="0"/>
                <w:sz w:val="16"/>
              </w:rPr>
              <w:t>baseline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정확도와 추론 처리량을 함께 고려하였다. MaxViT[4]와 ConvNeXtV2 (Ref)는 동일한 test Weighted F1 0.87을 보였으나, ConvNeXtV2가 1시간 주기 처리 요건을 더 안정적으로 만족할 수 있어 최종 backbone으로 선정하였다. Baseline CNN의 test Weighted F1은 0.78에서 0.87(Ref), 0.92(Ref + Optuna), 0.95(Ref + Optuna + ROI)로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