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변환 속도는 Cython 적용으로 약 100배 향상되었고, 이미지 용량은 32-color palette-indexed PNG 적용으로 약 75% 절감되었다.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 및 조회하는 처리 성능이 부족하였다. 설비 Log는 Wafer당 10~50MB 수준이며 전 제품 기준 하루 약 2만 장의 Wafer가 생산되지만, 기존 환경에서는 속도와 메모리 제약으로 대량 처리가 어려웠고 엔지니어가 한 번에 조회 및 확인할 수 있는 수량도 48매 수준에 머물렀다. 둘째, 생성된 Map에 대한 불량 여부 및 유형 판정이 엔지니어의 수동 판독에 의존하여 전수 분석이 어려웠다. 본 논문은 이러한 한계를 해결하는 통합 분석 아키텍처를 제안하며,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 운영이 가능한 데이터 처리 기반을 구축하였다. 둘째, Known 불량은 ConvNeXt V2[1] 기반 1차 wafer-level 분류와 ROI 기반 YOLO 2차 분류를 결합한 2-stage 구조로 성능을 향상시켰으며, backbone은 MaxViT[2] 대비 효율성을 기준으로 선정하였다. 셋째, Unknown 불량은 SimCLR[3] 계열 self-supervised 분석과 grid-structured local sampling 및 HDBSCAN[4] 기반 grouping을 통해 보다 정밀하게 검출하도록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적재되며 분석 Web App[5]으로 대량 조회 및 분석이 가능하다.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
        <w:rPr>
          <w:rFonts w:ascii="Times New Roman" w:hAnsi="Times New Roman" w:eastAsia="바탕체"/>
          <w:sz w:val="18"/>
        </w:rPr>
        <w:t>Fig. 3. ROI-YOLO based second-stage correction on a low-confidence wafer. The left panel shows the original wafer map, the middle panel shows the ROI and chip-level detections, and the right panel shows the detected chip failure pattern used for correction.</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5일치 운영 데이터 10,000장을 사용하여 SimCLR[3] 계열 모델을 대조학습하였으며, wafer의 zone 기반 불량 해석 특성을 반영하기 위해 grid-structured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
        <w:rPr>
          <w:rFonts w:ascii="Times New Roman" w:hAnsi="Times New Roman" w:eastAsia="바탕체"/>
          <w:sz w:val="18"/>
        </w:rPr>
        <w:t>Fig. 4. Representative Unknown-fail candidate groups reviewed after contrastive embedding and HDBSCAN grouping.</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6개는 일부 lot에 국한된 warning이거나 실제 불량으로 이어지지 않는 패턴이었다.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 및 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