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not been possible,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determination and type identification still depended on manual inspection by engineers, making exhaustive analysis difficult. To address these limitations, this paper proposes an integrated analysis architecture. The main contributions are as follows.</w:t>
      </w:r>
    </w:p>
    <w:p>
      <w:pPr>
        <w:spacing w:line="240" w:lineRule="auto" w:after="40"/>
        <w:ind w:firstLine="283"/>
      </w:pPr>
      <w:r>
        <w:rPr>
          <w:rFonts w:ascii="Times New Roman" w:hAnsi="Times New Roman" w:eastAsia="바탕체"/>
          <w:b w:val="0"/>
          <w:i w:val="0"/>
          <w:sz w:val="20"/>
        </w:rPr>
        <w:t>First, we implemented a real-time log ingestion and hourly Failbit Map generation pipeline, establishing a data-processing foundation for large-scale map operations. Second, for Known defects, we improved classification performance with a two-stage structure combining a ConvNeXt V2[1]-based wafer-level first-stage classifier and an ROI-based YOLO second-stage classifier; ConvNeXt V2 was selected over MaxViT[2] for efficiency. Third, for Unknown defects, we applied a SimCLR[3]-family self-supervised analysis with grid-structured local sampling and HDBSCAN[4]-based grouping for more precise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for large-scale browsing and analysis.</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in the second stage ROI-based YOLO re-examines low-confidence samples and identifies chip-level defect morphologies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
        <w:rPr>
          <w:rFonts w:ascii="Times New Roman" w:hAnsi="Times New Roman" w:eastAsia="바탕체"/>
          <w:sz w:val="18"/>
        </w:rPr>
        <w:t>Fig. 3. ROI-YOLO based second-stage correction on a low-confidence wafer. The left panel shows the original wafer map, the middle panel shows the ROI and chip-level detections, and the right panel shows the detected chip failure pattern used for correction.</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 88.6M) and about 39% fewer FLOPs (74.2G → 45.1G). Optuna was then used to optimize fine-tuning hyperparameters such as learning rate, weight decay, focal loss, and class weights,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
        <w:rPr>
          <w:rFonts w:ascii="Times New Roman" w:hAnsi="Times New Roman" w:eastAsia="바탕체"/>
          <w:sz w:val="18"/>
        </w:rPr>
        <w:t>Fig. 4. Representative Unknown-fail candidate groups reviewed after contrastive embedding and HDBSCAN grouping.</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were lot-specific warnings or non-defect patterns.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