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최종적으로 Class A로 분류하였다.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line="240" w:lineRule="auto" w:after="40"/>
      </w:pPr>
      <w:r>
        <w:rPr>
          <w:rFonts w:ascii="Times New Roman" w:hAnsi="Times New Roman" w:eastAsia="바탕체"/>
          <w:b w:val="0"/>
          <w:i w:val="0"/>
          <w:sz w:val="20"/>
        </w:rPr>
        <w:t>데이터 계층에서는 Cython 최적화로 hex-to-grade 변환 속도를 약 100배 향상시켰고, palette-indexed PNG 적용으로 이미지 용량을 약 75% 절감하였다. 이를 통해 1시간 주기의 Failbit Map 생성을 안정적으로 수행할 수 있었다.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 이는 backbone 교체, HPO, ROI refinement가 단계적으로 누적 기여했음을 보여준다.</w:t>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이는 미등록 불량을 실제 운영 데이터에서 직접 검출할 수 있음을 보여준다.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분석과 신규 불량 대응에 실질적으로 기여하고 있다. 향후 전 제품군 확산과 함께 FTN·QTN과 같은 전기적 측정값을 Failbit Map과 통합하여, 공간 패턴과 측정 신호를 함께 반영하는 multimodal 불량 분석 구조로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