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4K를 초과하는 초고해상도 이미지의 저장 용량 부담이었다. 이에 Cython 최적화로 변환 속도를 약 100배 향상시켰으며(Fig. 1), 32-palette-indexed PNG를 적용하여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모델에 wafer의 zone 기반 불량 해석 특성을 반영하기 위해 grid structured local sampling을 적용하여 대조학습을 수행하였고, 별도 1일치 2,000장에 HDBSCAN[4]을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 현재 분석용 Web App[5] 운영 중이다(DRAM 특정제품 적용).</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