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운영을 위한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검출되었다. 현업 분석 엔지니어 검증 결과 이 중 7개가 실제 불량 그룹으로 판정되었으며, 이를 통해 운영 환경 적용 가능성을 입증하였다.</w:t>
      </w:r>
    </w:p>
    <w:p>
      <w:pPr>
        <w:spacing w:line="240" w:lineRule="auto" w:after="80"/>
      </w:pPr>
      <w:r>
        <w:rPr>
          <w:rFonts w:ascii="Times New Roman" w:hAnsi="Times New Roman" w:eastAsia="바탕체"/>
          <w:b w:val="0"/>
          <w:i/>
          <w:sz w:val="18"/>
        </w:rPr>
        <w:t>Keywords: Failbit Map, Wafer Failure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YOLO를 결합한 2-stage 구조를 설계하였다.</w:t>
      </w:r>
    </w:p>
    <w:p>
      <w:pPr>
        <w:spacing w:line="240" w:lineRule="auto" w:after="40"/>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개별 chip 수준의 형태 차이를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 and Class B, and a true Class A sample misclassified as Class B by the first-stage CNN but corrected to Class A by the second-stage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 Failbit Map이 발생하므로, backbone 선택에서는 정확도와 추론 처리량을 함께 고려하였다. MaxViT[4]와 ConvNeXtV2 (Ref)는 동일한 test Weighted F1 0.87을 보였으나, ConvNeXtV2는 더 낮은 추론 지연으로 운영 처리량 확보에 유리하여 최종 backbone으로 선정하였다. 선정된 ConvNeXtV2 (Ref)의 test Weighted F1은 0.87에서 Ref + Optuna로 0.92, Ref + Optuna + ROI로 0.95까지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1시간 주기의 Failbit Map 전수 생성과 자동 불량 분석을 위한 통합 아키텍처를 구현하였다. 데이터 파이프라인에서는 Cython 최적화와 palette-indexed PNG를 적용하여 대량 Map 생성 및 저장이 가능하도록 하였고, 분석 단계에서는 Known 불량의 2-stage 분류와 Unknown 불량의 self-supervised 기반 검출을 결합하여 Failbit Map 분석을 수작업 중심 업무에서 자동화 체계로 고도화하였다.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