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검출되었다. 현업 분석 엔지니어 검증 결과 이 중 7개가 실제 불량 그룹으로 판정되었으며, 이를 통해 운영 환경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YOLO를 결합한 2-stage 구조를 설계하였다.</w:t>
      </w:r>
    </w:p>
    <w:p>
      <w:pPr>
        <w:spacing w:line="240" w:lineRule="auto" w:after="40"/>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 and Class B,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2만 장 이상의 Wafer Failbit Map이 발생하므로 backbone 선택에서는 정확도와 추론 처리량을 함께 고려하였다. MaxViT[4]와 ConvNeXtV2 (Ref)는 동일한 test Weighted F1 0.87을 보였으나, ConvNeXtV2는 파라미터 수 약 26% 감소(119.5M → 88.6M)와 FLOPs 약 39% 감소(74.2G → 45.1G)로 추론 처리량이 우수하여 최종 backbone으로 선정하였다. 이후 test Weighted F1은 Ref + Optuna에서 0.92, Ref + Optuna + ROI에서 0.95로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데이터 파이프라인에서는 Cython 최적화와 palette-indexed PNG를 적용하여 대량 Map의 생성 및 저장이 가능하도록 하였고, 분석 단계에서는 Known 불량의 2-stage 분류와 Unknown 불량의 self-supervised 기반 검출을 결합하여 Failbit Map 분석을 수작업 중심 업무에서 자동화 체계로 고도화하였다.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