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MaxViT[2]와 ConvNeXtV2 (Ref)는 동일한 test Weighted F1 0.87을 보였으나, ConvNeXtV2는 파라미터 수 약 26% 감소(119.5M → 88.6M)와 FLOPs 약 39% 감소(74.2G → 45.1G)로 추론 처리량이 우수하여 최종 backbone으로 선정하였다. 이후 Optuna를 통해 학습률, weight decay, augmentation 등 학습 hyperparameter를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웹 애플리케이션 FBM[5]을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