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MaxViT[2]와 ConvNeXtV2 (Ref)는 동일한 test Weighted F1 0.87을 보였으나, ConvNeXtV2는 파라미터 수 약 26% 감소(119.5M → 88.6M)와 FLOPs 약 39% 감소(74.2G → 45.1G)로 추론 처리량이 우수하여 최종 backbone으로 선정하였다. 이후 Optuna를 통해 lr, weight decay, focal loss, class weight 등 fine-tuning hyperparameter를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웹 애플리케이션 FBM[5]을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