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적용한 결과 13개 불량 그룹이 검출되었고, 이 중 7개가 현업 엔지니어 검증에서 실제 불량 그룹으로 판정되어 실전 운영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현업의 Measure 기반 분석만으로는 Failbit Map에서만 발현되는 불량을 검출하기 어렵다. 따라서 불량 분석을 위해서는 Failbit Map을 전수 분석해야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초고해상도 이미지의 저장 용량 부담이었다. 이에 Cython 최적화로 변환 속도를 약 100배 향상시키고(Fig. 1), palette-indexed PNG로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dashed yellow box indicates the ROI, and the green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하루 약 2만 장 이상의 Wafer Failbit Map이 발생하므로 backbone 선택에서는 정확도와 추론 처리량을 함께 고려하였다. MaxViT[2]와 ConvNeXtV2 (Ref)는 동일한 test Weighted F1 0.87을 보였으나, ConvNeXtV2는 파라미터 수 약 26% 감소(119.5M → 88.6M)와 FLOPs 약 39% 감소(74.2G → 45.1G)로 추론 처리량이 우수하여 최종 backbone으로 선정하였다.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learning[3] 기반 임베딩을 학습하고, 별도 1일치 2,000장에 HDBSCAN[4]을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 현재 분석용 Web App[5] 운영 중이며 DRAM 전제품 확인 가능하다.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