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28"/>
        </w:rPr>
        <w:t>기여도 협의록</w:t>
      </w:r>
    </w:p>
    <w:p>
      <w:r>
        <w:t>기여율은 CRediT 인정 역할(Conceptualization and design, Methodology, Software, Validation, Investigation, Data curation, Formal analysis, Analysis and conclusion, Writing-original draft, Visualization, Writing-review/editing)을 기준으로 협의한 값이며, Resources, Supervision, Project administration은 제외하였다.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0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기여자</w:t>
            </w:r>
          </w:p>
        </w:tc>
        <w:tc>
          <w:tcPr>
            <w:tcW w:type="dxa" w:w="90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기여율</w:t>
            </w:r>
          </w:p>
        </w:tc>
        <w:tc>
          <w:tcPr>
            <w:tcW w:type="dxa" w:w="760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기여 내용</w:t>
            </w:r>
          </w:p>
        </w:tc>
      </w:tr>
      <w:tr>
        <w:tc>
          <w:tcPr>
            <w:tcW w:type="dxa" w:w="1400"/>
            <w:vAlign w:val="top"/>
          </w:tcPr>
          <w:p>
            <w:r>
              <w:rPr>
                <w:rFonts w:ascii="Malgun Gothic" w:hAnsi="Malgun Gothic" w:eastAsia="Malgun Gothic"/>
                <w:sz w:val="20"/>
              </w:rPr>
              <w:t>최호길</w:t>
            </w:r>
          </w:p>
        </w:tc>
        <w:tc>
          <w:tcPr>
            <w:tcW w:type="dxa" w:w="900"/>
            <w:vAlign w:val="top"/>
          </w:tcPr>
          <w:p>
            <w:r>
              <w:rPr>
                <w:rFonts w:ascii="Malgun Gothic" w:hAnsi="Malgun Gothic" w:eastAsia="Malgun Gothic"/>
                <w:sz w:val="20"/>
              </w:rPr>
              <w:t>70%</w:t>
            </w:r>
          </w:p>
        </w:tc>
        <w:tc>
          <w:tcPr>
            <w:tcW w:type="dxa" w:w="7600"/>
            <w:vAlign w:val="top"/>
          </w:tcPr>
          <w:p>
            <w:r>
              <w:rPr>
                <w:rFonts w:ascii="Malgun Gothic" w:hAnsi="Malgun Gothic" w:eastAsia="Malgun Gothic"/>
                <w:sz w:val="20"/>
              </w:rPr>
              <w:t>Conceptualization and design, Methodology, Software, Validation, Investigation, Data curation, Formal analysis, Analysis and conclusion, Writing-original draft, Visualization, Writing-review/editing을 주도하였다.</w:t>
            </w:r>
          </w:p>
        </w:tc>
      </w:tr>
      <w:tr>
        <w:tc>
          <w:tcPr>
            <w:tcW w:type="dxa" w:w="1400"/>
            <w:vAlign w:val="top"/>
          </w:tcPr>
          <w:p>
            <w:r>
              <w:rPr>
                <w:rFonts w:ascii="Malgun Gothic" w:hAnsi="Malgun Gothic" w:eastAsia="Malgun Gothic"/>
                <w:sz w:val="20"/>
              </w:rPr>
              <w:t>현업 엔지니어</w:t>
            </w:r>
          </w:p>
        </w:tc>
        <w:tc>
          <w:tcPr>
            <w:tcW w:type="dxa" w:w="900"/>
            <w:vAlign w:val="top"/>
          </w:tcPr>
          <w:p>
            <w:r>
              <w:rPr>
                <w:rFonts w:ascii="Malgun Gothic" w:hAnsi="Malgun Gothic" w:eastAsia="Malgun Gothic"/>
                <w:sz w:val="20"/>
              </w:rPr>
              <w:t>15%</w:t>
            </w:r>
          </w:p>
        </w:tc>
        <w:tc>
          <w:tcPr>
            <w:tcW w:type="dxa" w:w="7600"/>
            <w:vAlign w:val="top"/>
          </w:tcPr>
          <w:p>
            <w:r>
              <w:rPr>
                <w:rFonts w:ascii="Malgun Gothic" w:hAnsi="Malgun Gothic" w:eastAsia="Malgun Gothic"/>
                <w:sz w:val="20"/>
              </w:rPr>
              <w:t>Conceptualization and design, Validation, Investigation, Data curation을 지원하였다.</w:t>
            </w:r>
          </w:p>
        </w:tc>
      </w:tr>
      <w:tr>
        <w:tc>
          <w:tcPr>
            <w:tcW w:type="dxa" w:w="1400"/>
            <w:vAlign w:val="top"/>
          </w:tcPr>
          <w:p>
            <w:r>
              <w:rPr>
                <w:rFonts w:ascii="Malgun Gothic" w:hAnsi="Malgun Gothic" w:eastAsia="Malgun Gothic"/>
                <w:sz w:val="20"/>
              </w:rPr>
              <w:t>관리자</w:t>
            </w:r>
          </w:p>
        </w:tc>
        <w:tc>
          <w:tcPr>
            <w:tcW w:type="dxa" w:w="900"/>
            <w:vAlign w:val="top"/>
          </w:tcPr>
          <w:p>
            <w:r>
              <w:rPr>
                <w:rFonts w:ascii="Malgun Gothic" w:hAnsi="Malgun Gothic" w:eastAsia="Malgun Gothic"/>
                <w:sz w:val="20"/>
              </w:rPr>
              <w:t>15%</w:t>
            </w:r>
          </w:p>
        </w:tc>
        <w:tc>
          <w:tcPr>
            <w:tcW w:type="dxa" w:w="7600"/>
            <w:vAlign w:val="top"/>
          </w:tcPr>
          <w:p>
            <w:r>
              <w:rPr>
                <w:rFonts w:ascii="Malgun Gothic" w:hAnsi="Malgun Gothic" w:eastAsia="Malgun Gothic"/>
                <w:sz w:val="20"/>
              </w:rPr>
              <w:t>Conceptualization and design, Analysis and conclusion, Writing-review/editing을 지원하였다. Resources, Supervision, Project administration 성격의 활동은 기여율 산정에서 제외하였다.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