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26%(119.5M→88.6M)·FLOPs 약 39%(74.2G→45.1G)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full wafer image에서는 local chip failure가 작은 영역으로 희석될 수 있지만, chip crop에서는 모델이 local failure morphology를 직접 관찰한다. 이후 class id를 원래 grid에 되돌리면 class별 공간 패턴이 categorical map으로 드러난다. 따라서 이득은 작은 모델이 큰 detector를 이긴 것이 아니라, fixed chip coordinate와 natural-resolution one-hot representation이 만든 semiconductor-specific inductive bias로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이 다섯 결정은 독립 tuning이 아니라 한 실패 모드를 순차적으로 막은 사슬이다. ASL[16]의 negative 과억제를 target 분리(positive 0.85 / negative 0.15)로 풀고, single 학습이 남긴 약한 combo positive(둘째 bit 평균 약 0.42)를 FCM이 약 0.54로 끌어올리며, 합성 background 누설을 Pair Mask가 손실에서 분리한다(Figure 6). 이후 validation에서만 계산한 val_margin = mean(p_pos) - max(p_neg)이 positive/negative 확률 간격을 벌리고(Figure 7a), 남은 OOD tail은 Gaussian Naive Bayes reject가 4-bit probability shape로 걸러낸다(Figure 7b).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Unknown embedding 경로의 측정값은 frozen encoder forward가 wafer당 약 14.3 ms, HDBSCAN 포함 end-to-end가 약 24 ms였으나, 이는 모델 경로의 개발·검증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생성·조회·overlay·label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축으로 제한한다. 첫째, DRAM YE팀과 object-id map 라벨 체계를 확정한 뒤 실제 데이터로 평가하고, Flash YE 확산 요청은 별도 적용 범위·권한·데이터 차이를 확인한 뒤 추진한다. 둘째, 같은 좌표계의 wafer 이미지와 chip 계측값을 융합해 패턴·계측 근인을 함께 추적한다. 셋째, 대조 임베딩을 검색 인덱스로 재활용해 과거 유사 사례와 담당자 note를 찾는 진단 보조 기능을 만든다. 넷째, 이미지·trend·이력 정보를 요약하는 LLM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10646</ns0:Words>
  <ns0:Characters>25456</ns0:Characters>
  <ns0:Application>Microsoft Word</ns0:Application>
  <ns0:DocSecurity>0</ns0:DocSecurity>
  <ns0:Lines>995</ns0:Lines>
  <ns0:Paragraphs>320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30331</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